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宋体" w:eastAsia="方正小标宋简体" w:cs="Arial"/>
          <w:b/>
          <w:bCs/>
          <w:sz w:val="36"/>
          <w:szCs w:val="36"/>
        </w:rPr>
      </w:pPr>
      <w:r>
        <w:rPr>
          <w:rFonts w:hint="eastAsia" w:ascii="方正小标宋简体" w:hAnsi="方正小标宋简体" w:eastAsia="方正小标宋简体" w:cs="方正小标宋简体"/>
          <w:spacing w:val="45"/>
          <w:sz w:val="36"/>
          <w:szCs w:val="36"/>
          <w:lang w:val="en-US" w:eastAsia="zh-CN"/>
        </w:rPr>
        <w:t>2020年信息平台建设</w:t>
      </w:r>
      <w:r>
        <w:rPr>
          <w:rFonts w:hint="eastAsia" w:ascii="方正小标宋简体" w:hAnsi="方正小标宋简体" w:eastAsia="方正小标宋简体" w:cs="方正小标宋简体"/>
          <w:spacing w:val="40"/>
          <w:sz w:val="36"/>
          <w:szCs w:val="36"/>
          <w:lang w:val="en-US" w:eastAsia="zh-CN"/>
        </w:rPr>
        <w:t>项目</w:t>
      </w:r>
    </w:p>
    <w:p>
      <w:pPr>
        <w:jc w:val="center"/>
        <w:rPr>
          <w:rFonts w:ascii="方正小标宋简体" w:hAnsi="Arial" w:eastAsia="方正小标宋简体" w:cs="Arial"/>
          <w:b w:val="0"/>
          <w:bCs w:val="0"/>
          <w:sz w:val="36"/>
          <w:szCs w:val="36"/>
        </w:rPr>
      </w:pPr>
      <w:r>
        <w:rPr>
          <w:rFonts w:hint="eastAsia" w:ascii="方正小标宋简体" w:hAnsi="宋体" w:eastAsia="方正小标宋简体" w:cs="Arial"/>
          <w:b w:val="0"/>
          <w:bCs w:val="0"/>
          <w:sz w:val="36"/>
          <w:szCs w:val="36"/>
        </w:rPr>
        <w:t>支出绩效评价报告</w:t>
      </w:r>
    </w:p>
    <w:p>
      <w:pPr>
        <w:numPr>
          <w:numId w:val="0"/>
        </w:numPr>
        <w:spacing w:line="600" w:lineRule="exact"/>
        <w:rPr>
          <w:rFonts w:hint="eastAsia" w:ascii="仿宋" w:hAnsi="仿宋" w:eastAsia="仿宋" w:cs="仿宋"/>
          <w:lang w:eastAsia="zh-CN"/>
        </w:rPr>
      </w:pPr>
      <w:r>
        <w:rPr>
          <w:rFonts w:hint="eastAsia" w:ascii="黑体" w:hAnsi="黑体" w:eastAsia="黑体"/>
          <w:sz w:val="32"/>
          <w:szCs w:val="32"/>
          <w:lang w:eastAsia="zh-CN"/>
        </w:rPr>
        <w:t>一、</w:t>
      </w:r>
      <w:r>
        <w:rPr>
          <w:rFonts w:hint="eastAsia" w:ascii="黑体" w:hAnsi="黑体" w:eastAsia="黑体"/>
          <w:sz w:val="32"/>
          <w:szCs w:val="32"/>
        </w:rPr>
        <w:t>基本情况</w:t>
      </w:r>
    </w:p>
    <w:p>
      <w:pPr>
        <w:widowControl w:val="0"/>
        <w:wordWrap/>
        <w:adjustRightInd/>
        <w:snapToGrid/>
        <w:spacing w:line="580" w:lineRule="exact"/>
        <w:ind w:firstLine="420" w:firstLineChars="200"/>
        <w:textAlignment w:val="auto"/>
        <w:rPr>
          <w:rFonts w:hint="eastAsia" w:ascii="仿宋" w:hAnsi="仿宋" w:eastAsia="仿宋" w:cs="仿宋"/>
          <w:sz w:val="32"/>
          <w:szCs w:val="32"/>
          <w:lang w:val="en-US" w:eastAsia="zh-CN"/>
        </w:rPr>
      </w:pPr>
      <w:r>
        <w:rPr>
          <w:rFonts w:hint="default"/>
          <w:lang w:val="en-US"/>
        </w:rPr>
        <w:t xml:space="preserve"> </w:t>
      </w:r>
      <w:r>
        <w:rPr>
          <w:rFonts w:hint="eastAsia"/>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稷山县防震减灾中心是县应急管理局所属事业单位，公益一类，为正科级。</w:t>
      </w:r>
      <w:r>
        <w:rPr>
          <w:rFonts w:hint="eastAsia" w:ascii="仿宋" w:hAnsi="仿宋" w:eastAsia="仿宋" w:cs="仿宋"/>
          <w:sz w:val="32"/>
          <w:szCs w:val="32"/>
          <w:lang w:val="en-US" w:eastAsia="zh-CN"/>
        </w:rPr>
        <w:t>主要职责是：</w:t>
      </w:r>
      <w:r>
        <w:rPr>
          <w:rFonts w:hint="eastAsia" w:ascii="仿宋_GB2312" w:hAnsi="仿宋_GB2312" w:eastAsia="仿宋_GB2312" w:cs="仿宋_GB2312"/>
          <w:sz w:val="32"/>
          <w:szCs w:val="32"/>
        </w:rPr>
        <w:t>贯彻落实国家防震减灾工作发展战略、方针政策、法律法规和地震行业标准，贯彻落实县委、县政府及上级业务管理部门防震减灾决策部署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协助编制全县防震减灾规划，指导全县地震灾害风险防控和预测预防工作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参与国土功能区划、城乡建设规划和地震灾区恢复重建规划，提出防震减灾方面建议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组织实施全县地震监测预警工作，组织实施全县地震监测预警台网规划、建设和维护工作，依法保护辖区内地震监测预警设施和观测环境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负责全县地震预测预报工作，组织全县地震宏微观异常核实和震情跟踪，组织全县震情会商和区域性联防工作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承担全县地震观测数据分析处理任务，提出地震预测预报意见和对策防范措施并组织实施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承担震后地震速报、震情信息收集报送、震后趋势判定、地震现场震情监测，协助做好烈度评定、灾害调查与损失评估工作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负责全县地震监测预报预警技术支撑系统规划、建设、维护工作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组织开展防震减灾宣传教育工作，普及防震减灾知识，提高全社会防震减灾意识</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配合相关部门开展辖区涉震舆情处置工作。</w:t>
      </w:r>
      <w:r>
        <w:rPr>
          <w:rFonts w:hint="eastAsia"/>
          <w:sz w:val="32"/>
          <w:szCs w:val="32"/>
          <w:lang w:val="en-US" w:eastAsia="zh-CN"/>
        </w:rPr>
        <w:t xml:space="preserve"> </w:t>
      </w:r>
      <w:r>
        <w:rPr>
          <w:rFonts w:hint="eastAsia" w:ascii="仿宋" w:hAnsi="仿宋" w:eastAsia="仿宋" w:cs="仿宋"/>
          <w:sz w:val="32"/>
          <w:szCs w:val="32"/>
          <w:lang w:val="en-US" w:eastAsia="zh-CN"/>
        </w:rPr>
        <w:t>为了有效提高我县广大人民群众防灾减灾能力和意识，</w:t>
      </w:r>
      <w:r>
        <w:rPr>
          <w:rFonts w:hint="eastAsia" w:ascii="仿宋" w:hAnsi="仿宋" w:eastAsia="仿宋" w:cs="仿宋"/>
          <w:lang w:val="en-US"/>
        </w:rPr>
        <w:t xml:space="preserve"> </w:t>
      </w:r>
      <w:r>
        <w:rPr>
          <w:rFonts w:hint="eastAsia" w:ascii="仿宋" w:hAnsi="仿宋" w:eastAsia="仿宋" w:cs="仿宋"/>
          <w:sz w:val="32"/>
          <w:szCs w:val="32"/>
          <w:lang w:val="en-US" w:eastAsia="zh-CN"/>
        </w:rPr>
        <w:t>根据运城市地震局运震[2017]21号文件精神，2020年防震减灾中心建设信息平台这个项目。截止2020年年底信息平台项目金额20万元，全年实际分配</w:t>
      </w:r>
      <w:r>
        <w:rPr>
          <w:rFonts w:hint="default" w:ascii="仿宋" w:hAnsi="仿宋" w:eastAsia="仿宋" w:cs="仿宋"/>
          <w:sz w:val="32"/>
          <w:szCs w:val="32"/>
          <w:lang w:val="en-US" w:eastAsia="zh-CN"/>
        </w:rPr>
        <w:t>19.93</w:t>
      </w:r>
      <w:r>
        <w:rPr>
          <w:rFonts w:hint="eastAsia" w:ascii="仿宋" w:hAnsi="仿宋" w:eastAsia="仿宋" w:cs="仿宋"/>
          <w:sz w:val="32"/>
          <w:szCs w:val="32"/>
          <w:lang w:val="en-US" w:eastAsia="zh-CN"/>
        </w:rPr>
        <w:t>万元</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节余0.07万元上缴财政，该项目完成率99.65%。资金主要来源于县级财政预算。资金管理由防震减灾中心开展常态化检查工作，确保该项经费的正常使用。</w:t>
      </w:r>
    </w:p>
    <w:p>
      <w:pPr>
        <w:widowControl w:val="0"/>
        <w:numPr>
          <w:ilvl w:val="0"/>
          <w:numId w:val="1"/>
        </w:numPr>
        <w:wordWrap/>
        <w:adjustRightInd/>
        <w:snapToGrid/>
        <w:spacing w:line="580" w:lineRule="exact"/>
        <w:textAlignment w:val="auto"/>
        <w:rPr>
          <w:rFonts w:hint="eastAsia" w:ascii="黑体" w:hAnsi="黑体" w:eastAsia="黑体"/>
          <w:sz w:val="32"/>
          <w:szCs w:val="32"/>
        </w:rPr>
      </w:pPr>
      <w:r>
        <w:rPr>
          <w:rFonts w:hint="eastAsia" w:ascii="黑体" w:hAnsi="黑体" w:eastAsia="黑体"/>
          <w:sz w:val="32"/>
          <w:szCs w:val="32"/>
        </w:rPr>
        <w:t>绩效评价工作开展情况</w:t>
      </w:r>
    </w:p>
    <w:p>
      <w:pPr>
        <w:numPr>
          <w:ilvl w:val="0"/>
          <w:numId w:val="2"/>
        </w:numPr>
        <w:spacing w:line="600" w:lineRule="exact"/>
        <w:rPr>
          <w:rFonts w:hint="eastAsia" w:ascii="仿宋" w:hAnsi="仿宋" w:eastAsia="仿宋"/>
          <w:sz w:val="32"/>
          <w:szCs w:val="32"/>
        </w:rPr>
      </w:pPr>
      <w:r>
        <w:rPr>
          <w:rFonts w:hint="eastAsia" w:ascii="仿宋" w:hAnsi="仿宋" w:eastAsia="仿宋"/>
          <w:sz w:val="32"/>
          <w:szCs w:val="32"/>
        </w:rPr>
        <w:t>绩效评价目的、对象和范围。</w:t>
      </w:r>
    </w:p>
    <w:p>
      <w:pPr>
        <w:widowControl w:val="0"/>
        <w:numPr>
          <w:numId w:val="0"/>
        </w:numPr>
        <w:wordWrap/>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可以对稷山县广大人民群众防灾减灾能力和意识进行全面的提高和认识。</w:t>
      </w:r>
    </w:p>
    <w:p>
      <w:pPr>
        <w:spacing w:line="600" w:lineRule="exact"/>
        <w:rPr>
          <w:rFonts w:ascii="仿宋" w:hAnsi="仿宋" w:eastAsia="仿宋"/>
          <w:sz w:val="32"/>
          <w:szCs w:val="32"/>
        </w:rPr>
      </w:pPr>
      <w:r>
        <w:rPr>
          <w:rFonts w:hint="eastAsia" w:ascii="仿宋" w:hAnsi="仿宋" w:eastAsia="仿宋"/>
          <w:sz w:val="32"/>
          <w:szCs w:val="32"/>
        </w:rPr>
        <w:t>（二）绩效评价原则、评价指标体系</w:t>
      </w:r>
      <w:r>
        <w:rPr>
          <w:rFonts w:hint="eastAsia" w:ascii="仿宋" w:hAnsi="仿宋" w:eastAsia="仿宋"/>
          <w:sz w:val="32"/>
          <w:szCs w:val="32"/>
          <w:lang w:eastAsia="zh-CN"/>
        </w:rPr>
        <w:t>、</w:t>
      </w:r>
      <w:r>
        <w:rPr>
          <w:rFonts w:hint="eastAsia" w:ascii="仿宋" w:hAnsi="仿宋" w:eastAsia="仿宋"/>
          <w:sz w:val="32"/>
          <w:szCs w:val="32"/>
        </w:rPr>
        <w:t>评价方法、评价标准</w:t>
      </w:r>
    </w:p>
    <w:p>
      <w:pPr>
        <w:pStyle w:val="2"/>
        <w:ind w:firstLine="640" w:firstLineChars="200"/>
        <w:jc w:val="both"/>
        <w:rPr>
          <w:rFonts w:hint="eastAsia" w:ascii="仿宋" w:hAnsi="仿宋" w:eastAsia="仿宋" w:cs="仿宋"/>
          <w:b w:val="0"/>
          <w:bCs w:val="0"/>
          <w:lang w:val="en-US" w:eastAsia="zh-CN"/>
        </w:rPr>
      </w:pPr>
      <w:r>
        <w:rPr>
          <w:rFonts w:hint="eastAsia" w:ascii="仿宋" w:hAnsi="仿宋" w:eastAsia="仿宋" w:cs="仿宋"/>
          <w:b w:val="0"/>
          <w:bCs w:val="0"/>
          <w:lang w:val="en-US" w:eastAsia="zh-CN"/>
        </w:rPr>
        <w:t>按照科学规范、正确决策、公开公正、分级分类、绩效相关原则，开展绩效评价。</w:t>
      </w:r>
    </w:p>
    <w:p>
      <w:pPr>
        <w:numPr>
          <w:ilvl w:val="0"/>
          <w:numId w:val="2"/>
        </w:numPr>
        <w:spacing w:line="600" w:lineRule="exact"/>
        <w:ind w:left="0" w:leftChars="0" w:firstLine="0" w:firstLineChars="0"/>
        <w:rPr>
          <w:rFonts w:hint="eastAsia" w:ascii="仿宋" w:hAnsi="仿宋" w:eastAsia="仿宋"/>
          <w:sz w:val="32"/>
          <w:szCs w:val="32"/>
        </w:rPr>
      </w:pPr>
      <w:r>
        <w:rPr>
          <w:rFonts w:hint="eastAsia" w:ascii="仿宋" w:hAnsi="仿宋" w:eastAsia="仿宋"/>
          <w:sz w:val="32"/>
          <w:szCs w:val="32"/>
        </w:rPr>
        <w:t>绩效评价工作过程。</w:t>
      </w:r>
    </w:p>
    <w:p>
      <w:pPr>
        <w:pStyle w:val="2"/>
        <w:numPr>
          <w:numId w:val="0"/>
        </w:numPr>
        <w:ind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整理相关资料，细化绩效目标，通过资金到位率，执行率使用合规性，来考核该项目。</w:t>
      </w:r>
    </w:p>
    <w:p>
      <w:pPr>
        <w:pStyle w:val="2"/>
        <w:numPr>
          <w:ilvl w:val="0"/>
          <w:numId w:val="1"/>
        </w:numPr>
        <w:ind w:left="0" w:leftChars="0" w:firstLine="0" w:firstLineChars="0"/>
        <w:jc w:val="both"/>
        <w:rPr>
          <w:rFonts w:hint="eastAsia" w:ascii="黑体" w:hAnsi="黑体" w:eastAsia="黑体"/>
          <w:sz w:val="32"/>
          <w:szCs w:val="32"/>
        </w:rPr>
      </w:pPr>
      <w:r>
        <w:rPr>
          <w:rFonts w:hint="eastAsia" w:ascii="黑体" w:hAnsi="黑体" w:eastAsia="黑体"/>
          <w:sz w:val="32"/>
          <w:szCs w:val="32"/>
        </w:rPr>
        <w:t>综合评价情况及评价结论</w:t>
      </w:r>
    </w:p>
    <w:p>
      <w:pPr>
        <w:numPr>
          <w:numId w:val="0"/>
        </w:numPr>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根据“财政支出绩效评价指标体系”进行综合评价，本项目综合得分</w:t>
      </w: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6</w:t>
      </w:r>
      <w:r>
        <w:rPr>
          <w:rFonts w:hint="eastAsia" w:ascii="仿宋" w:hAnsi="仿宋" w:eastAsia="仿宋" w:cs="仿宋"/>
          <w:sz w:val="32"/>
          <w:szCs w:val="32"/>
          <w:lang w:val="en-US" w:eastAsia="zh-CN"/>
        </w:rPr>
        <w:t>分，评价等次为“优”。各项评分结果见“项目支出绩效自评表”。</w:t>
      </w:r>
    </w:p>
    <w:p>
      <w:pPr>
        <w:spacing w:line="600" w:lineRule="exact"/>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（一）项目决策情况。</w:t>
      </w:r>
    </w:p>
    <w:p>
      <w:pPr>
        <w:pStyle w:val="2"/>
        <w:ind w:firstLine="960" w:firstLineChars="300"/>
        <w:jc w:val="both"/>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我单位严把决策关，加大对项目资金的管理力度，规范支付程序，保证项目资金专款专用。</w:t>
      </w:r>
    </w:p>
    <w:p>
      <w:pPr>
        <w:pStyle w:val="2"/>
        <w:ind w:firstLine="640" w:firstLineChars="200"/>
        <w:jc w:val="both"/>
        <w:rPr>
          <w:rFonts w:hint="eastAsia" w:ascii="仿宋" w:hAnsi="仿宋" w:eastAsia="仿宋"/>
          <w:sz w:val="32"/>
          <w:szCs w:val="32"/>
        </w:rPr>
      </w:pPr>
      <w:r>
        <w:rPr>
          <w:rFonts w:hint="eastAsia" w:ascii="仿宋" w:hAnsi="仿宋" w:eastAsia="仿宋"/>
          <w:b w:val="0"/>
          <w:bCs w:val="0"/>
          <w:sz w:val="32"/>
          <w:szCs w:val="32"/>
          <w:lang w:eastAsia="zh-CN"/>
        </w:rPr>
        <w:t>（二）</w:t>
      </w:r>
      <w:r>
        <w:rPr>
          <w:rFonts w:hint="eastAsia" w:ascii="仿宋" w:hAnsi="仿宋" w:eastAsia="仿宋"/>
          <w:b w:val="0"/>
          <w:bCs w:val="0"/>
          <w:sz w:val="32"/>
          <w:szCs w:val="32"/>
        </w:rPr>
        <w:t>项目过程情况。</w:t>
      </w:r>
    </w:p>
    <w:p>
      <w:pPr>
        <w:numPr>
          <w:numId w:val="0"/>
        </w:num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lang w:eastAsia="zh-CN"/>
        </w:rPr>
        <w:t>稷山县防震减灾中心项目经费</w:t>
      </w:r>
      <w:r>
        <w:rPr>
          <w:rFonts w:hint="eastAsia" w:ascii="仿宋" w:hAnsi="仿宋" w:eastAsia="仿宋"/>
          <w:sz w:val="32"/>
          <w:szCs w:val="32"/>
          <w:lang w:val="en-US" w:eastAsia="zh-CN"/>
        </w:rPr>
        <w:t>20万元，项目拨款按进度进行，资金使用合理达到了预期效果。</w:t>
      </w:r>
    </w:p>
    <w:p>
      <w:pPr>
        <w:numPr>
          <w:numId w:val="0"/>
        </w:num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项目产出情况。</w:t>
      </w:r>
    </w:p>
    <w:p>
      <w:pPr>
        <w:numPr>
          <w:numId w:val="0"/>
        </w:numPr>
        <w:spacing w:line="600" w:lineRule="exact"/>
        <w:ind w:firstLine="640" w:firstLineChars="200"/>
        <w:outlineLvl w:val="0"/>
        <w:rPr>
          <w:rFonts w:hint="default" w:ascii="仿宋" w:hAnsi="仿宋" w:eastAsia="仿宋"/>
          <w:sz w:val="32"/>
          <w:szCs w:val="32"/>
          <w:lang w:val="en-US" w:eastAsia="zh-CN"/>
        </w:rPr>
      </w:pPr>
      <w:r>
        <w:rPr>
          <w:rFonts w:hint="eastAsia" w:ascii="仿宋" w:hAnsi="仿宋" w:eastAsia="仿宋"/>
          <w:sz w:val="32"/>
          <w:szCs w:val="32"/>
          <w:lang w:eastAsia="zh-CN"/>
        </w:rPr>
        <w:t>本年度绩效目标确定的金额跟实际的提供数量一致，实际完成率</w:t>
      </w:r>
      <w:r>
        <w:rPr>
          <w:rFonts w:hint="eastAsia" w:ascii="仿宋" w:hAnsi="仿宋" w:eastAsia="仿宋"/>
          <w:sz w:val="32"/>
          <w:szCs w:val="32"/>
          <w:lang w:val="en-US" w:eastAsia="zh-CN"/>
        </w:rPr>
        <w:t>100</w:t>
      </w:r>
      <w:r>
        <w:rPr>
          <w:rFonts w:hint="default" w:ascii="仿宋" w:hAnsi="仿宋" w:eastAsia="仿宋"/>
          <w:sz w:val="32"/>
          <w:szCs w:val="32"/>
          <w:lang w:val="en-US" w:eastAsia="zh-CN"/>
        </w:rPr>
        <w:t>%</w:t>
      </w:r>
      <w:r>
        <w:rPr>
          <w:rFonts w:hint="eastAsia" w:ascii="仿宋" w:hAnsi="仿宋" w:eastAsia="仿宋"/>
          <w:sz w:val="32"/>
          <w:szCs w:val="32"/>
          <w:lang w:val="en-US" w:eastAsia="zh-CN"/>
        </w:rPr>
        <w:t>，质量达标率，完成及时性成本节约率按规定的绩效目标完成。</w:t>
      </w:r>
    </w:p>
    <w:p>
      <w:pPr>
        <w:pStyle w:val="2"/>
        <w:numPr>
          <w:ilvl w:val="0"/>
          <w:numId w:val="2"/>
        </w:numPr>
        <w:ind w:left="0" w:leftChars="0" w:firstLine="0" w:firstLineChars="0"/>
        <w:jc w:val="both"/>
        <w:rPr>
          <w:rFonts w:hint="eastAsia" w:ascii="仿宋" w:hAnsi="仿宋" w:eastAsia="仿宋"/>
          <w:b w:val="0"/>
          <w:bCs w:val="0"/>
          <w:sz w:val="32"/>
          <w:szCs w:val="32"/>
        </w:rPr>
      </w:pPr>
      <w:r>
        <w:rPr>
          <w:rFonts w:hint="eastAsia" w:ascii="仿宋" w:hAnsi="仿宋" w:eastAsia="仿宋"/>
          <w:b w:val="0"/>
          <w:bCs w:val="0"/>
          <w:sz w:val="32"/>
          <w:szCs w:val="32"/>
        </w:rPr>
        <w:t>项目效益情况。</w:t>
      </w:r>
    </w:p>
    <w:p>
      <w:pPr>
        <w:rPr>
          <w:rFonts w:hint="default" w:eastAsia="仿宋"/>
          <w:lang w:val="en-US" w:eastAsia="zh-CN"/>
        </w:rPr>
      </w:pPr>
      <w:r>
        <w:rPr>
          <w:rFonts w:hint="eastAsia" w:ascii="仿宋" w:hAnsi="仿宋" w:eastAsia="仿宋"/>
          <w:b w:val="0"/>
          <w:bCs w:val="0"/>
          <w:sz w:val="32"/>
          <w:szCs w:val="32"/>
          <w:lang w:val="en-US" w:eastAsia="zh-CN"/>
        </w:rPr>
        <w:t xml:space="preserve">    通过项目建设，有效的提高了我县地震分析预报能力和异常捕捉效率。能及时有效的对我县及全省、全国的地震监测数据进行对比分析，大大提升了我县的防震减灾能力。</w:t>
      </w:r>
    </w:p>
    <w:p>
      <w:pPr>
        <w:numPr>
          <w:numId w:val="0"/>
        </w:numPr>
        <w:spacing w:line="600" w:lineRule="exact"/>
        <w:ind w:leftChars="0"/>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主要经验及做法、存在的问题及原因分析</w:t>
      </w:r>
    </w:p>
    <w:p>
      <w:pPr>
        <w:pStyle w:val="2"/>
        <w:numPr>
          <w:numId w:val="0"/>
        </w:numPr>
        <w:ind w:leftChars="0" w:firstLine="640" w:firstLineChars="200"/>
        <w:jc w:val="both"/>
        <w:rPr>
          <w:rFonts w:hint="eastAsia" w:ascii="仿宋" w:hAnsi="仿宋" w:eastAsia="仿宋" w:cs="仿宋"/>
          <w:b w:val="0"/>
          <w:bCs w:val="0"/>
          <w:lang w:eastAsia="zh-CN"/>
        </w:rPr>
      </w:pPr>
      <w:r>
        <w:rPr>
          <w:rFonts w:hint="eastAsia" w:ascii="仿宋" w:hAnsi="仿宋" w:eastAsia="仿宋" w:cs="仿宋"/>
          <w:b w:val="0"/>
          <w:bCs w:val="0"/>
          <w:lang w:eastAsia="zh-CN"/>
        </w:rPr>
        <w:t>我单位相关人员的配备不足，人员素质不高，相关制度还需要进一步提高。</w:t>
      </w:r>
    </w:p>
    <w:p>
      <w:pPr>
        <w:pStyle w:val="2"/>
        <w:rPr>
          <w:rFonts w:hint="eastAsia"/>
        </w:rPr>
      </w:pPr>
    </w:p>
    <w:p>
      <w:pPr>
        <w:rPr>
          <w:rFonts w:hint="eastAsia"/>
        </w:rPr>
      </w:pPr>
    </w:p>
    <w:p>
      <w:pPr>
        <w:pStyle w:val="2"/>
        <w:numPr>
          <w:numId w:val="0"/>
        </w:numPr>
        <w:jc w:val="both"/>
      </w:pPr>
    </w:p>
    <w:p>
      <w:pPr>
        <w:pStyle w:val="2"/>
        <w:jc w:val="both"/>
        <w:rPr>
          <w:rFonts w:hint="default"/>
          <w:lang w:val="en-US" w:eastAsia="zh-CN"/>
        </w:rPr>
      </w:pPr>
    </w:p>
    <w:p>
      <w:pPr>
        <w:rPr>
          <w:rFonts w:hint="default"/>
          <w:lang w:val="en-US" w:eastAsia="zh-CN"/>
        </w:rPr>
      </w:pPr>
      <w:bookmarkStart w:id="0" w:name="_GoBack"/>
      <w:bookmarkEnd w:id="0"/>
    </w:p>
    <w:p>
      <w:pPr>
        <w:pStyle w:val="2"/>
        <w:jc w:val="both"/>
        <w:rPr>
          <w:rFonts w:hint="default"/>
          <w:lang w:val="en-US" w:eastAsia="zh-CN"/>
        </w:rPr>
      </w:pPr>
      <w:r>
        <w:rPr>
          <w:rFonts w:ascii="Calibri Light" w:hAnsi="Calibri Light" w:eastAsia="宋体" w:cs="黑体"/>
          <w:b/>
          <w:bCs/>
          <w:kern w:val="2"/>
          <w:sz w:val="32"/>
          <w:szCs w:val="32"/>
          <w:lang w:val="en-US" w:eastAsia="zh-CN" w:bidi="ar-SA"/>
        </w:rPr>
        <w:pict>
          <v:shape id="图片框 1026" o:spid="_x0000_s1026" type="#_x0000_t75" style="height:477.9pt;width:414.8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82345352">
    <w:nsid w:val="C3A49D88"/>
    <w:multiLevelType w:val="singleLevel"/>
    <w:tmpl w:val="C3A49D88"/>
    <w:lvl w:ilvl="0" w:tentative="1">
      <w:start w:val="2"/>
      <w:numFmt w:val="chineseCounting"/>
      <w:suff w:val="nothing"/>
      <w:lvlText w:val="%1、"/>
      <w:lvlJc w:val="left"/>
      <w:rPr>
        <w:rFonts w:hint="eastAsia"/>
      </w:rPr>
    </w:lvl>
  </w:abstractNum>
  <w:abstractNum w:abstractNumId="1075448050">
    <w:nsid w:val="401A08F2"/>
    <w:multiLevelType w:val="singleLevel"/>
    <w:tmpl w:val="401A08F2"/>
    <w:lvl w:ilvl="0" w:tentative="1">
      <w:start w:val="1"/>
      <w:numFmt w:val="chineseCounting"/>
      <w:suff w:val="nothing"/>
      <w:lvlText w:val="（%1）"/>
      <w:lvlJc w:val="left"/>
      <w:rPr>
        <w:rFonts w:hint="eastAsia"/>
      </w:rPr>
    </w:lvl>
  </w:abstractNum>
  <w:num w:numId="1">
    <w:abstractNumId w:val="3282345352"/>
  </w:num>
  <w:num w:numId="2">
    <w:abstractNumId w:val="10754480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5"/>
    <w:basedOn w:val="1"/>
    <w:next w:val="1"/>
    <w:unhideWhenUsed/>
    <w:qFormat/>
    <w:uiPriority w:val="99"/>
    <w:pPr>
      <w:keepNext/>
      <w:keepLines/>
      <w:spacing w:before="280" w:beforeAutospacing="0" w:after="290" w:afterAutospacing="0" w:line="372" w:lineRule="auto"/>
      <w:outlineLvl w:val="4"/>
    </w:pPr>
    <w:rPr>
      <w:b/>
      <w:sz w:val="28"/>
    </w:rPr>
  </w:style>
  <w:style w:type="character" w:default="1" w:styleId="4">
    <w:name w:val="Default Paragraph Font"/>
    <w:semiHidden/>
    <w:qFormat/>
    <w:uiPriority w:val="0"/>
  </w:style>
  <w:style w:type="paragraph" w:styleId="2">
    <w:name w:val="Title"/>
    <w:basedOn w:val="1"/>
    <w:next w:val="1"/>
    <w:qFormat/>
    <w:uiPriority w:val="10"/>
    <w:pPr>
      <w:spacing w:before="240" w:after="60"/>
      <w:jc w:val="center"/>
      <w:outlineLvl w:val="0"/>
    </w:pPr>
    <w:rPr>
      <w:rFonts w:ascii="Calibri Light" w:hAnsi="Calibri Light" w:cs="黑体"/>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2021-07-02T08:06:00Z</dcterms:created>
  <dc:creator>Administrator</dc:creator>
  <cp:lastModifiedBy>Administrator</cp:lastModifiedBy>
  <cp:lastPrinted>2021-07-06T02:43:00Z</cp:lastPrinted>
  <dcterms:modified xsi:type="dcterms:W3CDTF">2021-09-22T01:17:43Z</dcterms:modified>
  <dc:title>2020年信息平台建设项目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