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14:textFill>
            <w14:solidFill>
              <w14:schemeClr w14:val="tx1"/>
            </w14:solidFill>
          </w14:textFill>
        </w:rPr>
        <w:t>中共稷山县纪律检查委员会</w:t>
      </w:r>
      <w:bookmarkStart w:id="0" w:name="_GoBack"/>
      <w:bookmarkEnd w:id="0"/>
      <w:r>
        <w:rPr>
          <w:rFonts w:hint="eastAsia" w:ascii="方正小标宋_GBK" w:eastAsia="方正小标宋_GBK"/>
          <w:color w:val="000000" w:themeColor="text1"/>
          <w:sz w:val="44"/>
          <w:szCs w:val="44"/>
          <w:lang w:eastAsia="zh-CN"/>
          <w14:textFill>
            <w14:solidFill>
              <w14:schemeClr w14:val="tx1"/>
            </w14:solidFill>
          </w14:textFill>
        </w:rPr>
        <w:t>部门整体</w:t>
      </w:r>
      <w:r>
        <w:rPr>
          <w:rFonts w:hint="eastAsia" w:ascii="方正小标宋_GBK" w:eastAsia="方正小标宋_GBK"/>
          <w:color w:val="000000" w:themeColor="text1"/>
          <w:sz w:val="44"/>
          <w:szCs w:val="44"/>
          <w14:textFill>
            <w14:solidFill>
              <w14:schemeClr w14:val="tx1"/>
            </w14:solidFill>
          </w14:textFill>
        </w:rPr>
        <w:t>绩效</w:t>
      </w:r>
    </w:p>
    <w:p>
      <w:pPr>
        <w:spacing w:line="600" w:lineRule="exact"/>
        <w:jc w:val="center"/>
        <w:rPr>
          <w:rFonts w:hint="eastAsia" w:ascii="方正小标宋_GBK" w:eastAsia="方正小标宋_GBK"/>
          <w:color w:val="000000" w:themeColor="text1"/>
          <w:sz w:val="44"/>
          <w:szCs w:val="44"/>
          <w14:textFill>
            <w14:solidFill>
              <w14:schemeClr w14:val="tx1"/>
            </w14:solidFill>
          </w14:textFill>
        </w:rPr>
      </w:pPr>
      <w:r>
        <w:rPr>
          <w:rFonts w:hint="eastAsia" w:ascii="方正小标宋_GBK" w:eastAsia="方正小标宋_GBK"/>
          <w:color w:val="000000" w:themeColor="text1"/>
          <w:sz w:val="44"/>
          <w:szCs w:val="44"/>
          <w:lang w:eastAsia="zh-CN"/>
          <w14:textFill>
            <w14:solidFill>
              <w14:schemeClr w14:val="tx1"/>
            </w14:solidFill>
          </w14:textFill>
        </w:rPr>
        <w:t>自我</w:t>
      </w:r>
      <w:r>
        <w:rPr>
          <w:rFonts w:hint="eastAsia" w:ascii="方正小标宋_GBK" w:eastAsia="方正小标宋_GBK"/>
          <w:color w:val="000000" w:themeColor="text1"/>
          <w:sz w:val="44"/>
          <w:szCs w:val="44"/>
          <w14:textFill>
            <w14:solidFill>
              <w14:schemeClr w14:val="tx1"/>
            </w14:solidFill>
          </w14:textFill>
        </w:rPr>
        <w:t>评价报告</w:t>
      </w:r>
    </w:p>
    <w:p>
      <w:pPr>
        <w:spacing w:line="600" w:lineRule="exact"/>
        <w:rPr>
          <w:rFonts w:hint="eastAsia" w:ascii="方正小标宋_GBK" w:eastAsia="方正小标宋_GBK"/>
          <w:color w:val="000000" w:themeColor="text1"/>
          <w:sz w:val="30"/>
          <w:szCs w:val="30"/>
          <w14:textFill>
            <w14:solidFill>
              <w14:schemeClr w14:val="tx1"/>
            </w14:solidFill>
          </w14:textFill>
        </w:rPr>
      </w:pPr>
    </w:p>
    <w:p>
      <w:pPr>
        <w:pStyle w:val="2"/>
        <w:shd w:val="clear" w:color="auto" w:fill="FFFFFF"/>
        <w:spacing w:before="0" w:beforeAutospacing="0" w:after="0" w:afterAutospacing="0" w:line="600" w:lineRule="exact"/>
        <w:ind w:firstLine="480"/>
        <w:rPr>
          <w:rFonts w:hint="eastAsia"/>
          <w:color w:val="000000" w:themeColor="text1"/>
          <w:sz w:val="23"/>
          <w:szCs w:val="23"/>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根据县财政局关于开展绩效评估的通知要求，我单位认真组织对2020年部门整体支出进行了绩效自评，现将自评情况报告如下：   </w:t>
      </w:r>
      <w:r>
        <w:rPr>
          <w:rFonts w:hint="eastAsia"/>
          <w:color w:val="000000" w:themeColor="text1"/>
          <w:sz w:val="23"/>
          <w:szCs w:val="23"/>
          <w14:textFill>
            <w14:solidFill>
              <w14:schemeClr w14:val="tx1"/>
            </w14:solidFill>
          </w14:textFill>
        </w:rPr>
        <w:t>        </w:t>
      </w:r>
    </w:p>
    <w:p>
      <w:pPr>
        <w:pStyle w:val="2"/>
        <w:shd w:val="clear" w:color="auto" w:fill="FFFFFF"/>
        <w:spacing w:before="0" w:beforeAutospacing="0" w:after="0" w:afterAutospacing="0" w:line="600" w:lineRule="exact"/>
        <w:ind w:firstLine="48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一、部门基本情况</w:t>
      </w:r>
    </w:p>
    <w:p>
      <w:pPr>
        <w:pStyle w:val="2"/>
        <w:shd w:val="clear" w:color="auto" w:fill="FFFFFF"/>
        <w:spacing w:before="0" w:beforeAutospacing="0" w:after="0" w:afterAutospacing="0" w:line="600" w:lineRule="exact"/>
        <w:ind w:firstLine="48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一）稷山县纪委监委属全额拨款单位，机关人员编制127名，其中机关行政编制80名，工勤编制3名，事业编制44名；目前委机关实有在职人员103人：行政编人员63人，工勤人员3人，事业编人员37人；退休人员7人。公车改革后，现有车辆编制1台，（车牌：晋ME8628）。</w:t>
      </w:r>
    </w:p>
    <w:p>
      <w:pPr>
        <w:pStyle w:val="2"/>
        <w:shd w:val="clear" w:color="auto" w:fill="FFFFFF"/>
        <w:spacing w:before="0" w:beforeAutospacing="0" w:after="0" w:afterAutospacing="0" w:line="600" w:lineRule="exact"/>
        <w:ind w:firstLine="48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二）委机关内设15个内设机构。内设部室分别为：办公室、组织部、宣传部、党风政风监督室、信访室、第一监督检查室、第二监督检查室、第三监督检查室、第四监督检查室、第五审查调查室、第六审查调查室、第七审查调查室、案件审理室、案件监督管理室、纪检监察干部监督室，直属事业单位有：微机网络中心、电教中心、行政效能投诉中心、党纪教育基地。</w:t>
      </w:r>
    </w:p>
    <w:p>
      <w:pPr>
        <w:pStyle w:val="2"/>
        <w:shd w:val="clear" w:color="auto" w:fill="FFFFFF"/>
        <w:spacing w:before="0" w:beforeAutospacing="0" w:after="0" w:afterAutospacing="0" w:line="600" w:lineRule="exact"/>
        <w:ind w:firstLine="48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三）单位主要职责。负责全县党的纪律检查工作，贯彻落实党中央、中央纪委、省委、省纪委、市委、市纪委、县委关于纪律检查工作的决定，维护党的章程和其他党内法规，检查党的路线方针政策和决议的执行情况，协助县委推进全面从严治党、加强党风建设和组织协调反腐败工作。</w:t>
      </w:r>
    </w:p>
    <w:p>
      <w:pPr>
        <w:pStyle w:val="2"/>
        <w:shd w:val="clear" w:color="auto" w:fill="FFFFFF"/>
        <w:spacing w:before="0" w:beforeAutospacing="0" w:after="0" w:afterAutospacing="0" w:line="600" w:lineRule="exact"/>
        <w:ind w:firstLine="640" w:firstLineChars="20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二、绩效工作评价开展情况</w:t>
      </w:r>
    </w:p>
    <w:p>
      <w:pPr>
        <w:pStyle w:val="2"/>
        <w:shd w:val="clear" w:color="auto" w:fill="FFFFFF"/>
        <w:spacing w:before="0" w:beforeAutospacing="0" w:after="0" w:afterAutospacing="0"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我委成立自我评价领导小组，组长为县纪委常委张全乐，成员为财务人员宁淑英，主要职责为本单位的预算管理以及项目支出和基本支出的分配；固定资产的预算以及月报、年报工作；经费支出、票据报销；单位年度决算等工作。</w:t>
      </w:r>
    </w:p>
    <w:p>
      <w:pPr>
        <w:pStyle w:val="2"/>
        <w:shd w:val="clear" w:color="auto" w:fill="FFFFFF"/>
        <w:spacing w:before="0" w:beforeAutospacing="0" w:after="0" w:afterAutospacing="0" w:line="600" w:lineRule="exact"/>
        <w:ind w:firstLine="640" w:firstLineChars="200"/>
        <w:rPr>
          <w:rFonts w:hint="eastAsia" w:ascii="仿宋_GB2312" w:eastAsia="仿宋_GB2312"/>
          <w:color w:val="000000" w:themeColor="text1"/>
          <w:sz w:val="32"/>
          <w:szCs w:val="32"/>
          <w14:textFill>
            <w14:solidFill>
              <w14:schemeClr w14:val="tx1"/>
            </w14:solidFill>
          </w14:textFill>
        </w:rPr>
      </w:pPr>
      <w:r>
        <w:rPr>
          <w:rFonts w:hint="eastAsia" w:ascii="仿宋_GB2312" w:eastAsia="仿宋_GB2312"/>
          <w:color w:val="000000" w:themeColor="text1"/>
          <w:sz w:val="32"/>
          <w:szCs w:val="32"/>
          <w14:textFill>
            <w14:solidFill>
              <w14:schemeClr w14:val="tx1"/>
            </w14:solidFill>
          </w14:textFill>
        </w:rPr>
        <w:t>本年度</w:t>
      </w:r>
      <w:r>
        <w:rPr>
          <w:rFonts w:hint="eastAsia" w:ascii="仿宋_GB2312" w:eastAsia="仿宋_GB2312"/>
          <w:color w:val="000000" w:themeColor="text1"/>
          <w:sz w:val="32"/>
          <w:szCs w:val="32"/>
          <w:lang w:eastAsia="zh-CN"/>
          <w14:textFill>
            <w14:solidFill>
              <w14:schemeClr w14:val="tx1"/>
            </w14:solidFill>
          </w14:textFill>
        </w:rPr>
        <w:t>实行部门整体绩效，其中包含</w:t>
      </w:r>
      <w:r>
        <w:rPr>
          <w:rFonts w:hint="eastAsia" w:ascii="仿宋_GB2312" w:eastAsia="仿宋_GB2312"/>
          <w:color w:val="000000" w:themeColor="text1"/>
          <w:sz w:val="32"/>
          <w:szCs w:val="32"/>
          <w14:textFill>
            <w14:solidFill>
              <w14:schemeClr w14:val="tx1"/>
            </w14:solidFill>
          </w14:textFill>
        </w:rPr>
        <w:t>两项项目</w:t>
      </w:r>
      <w:r>
        <w:rPr>
          <w:rFonts w:hint="eastAsia" w:ascii="仿宋_GB2312" w:eastAsia="仿宋_GB2312"/>
          <w:color w:val="000000" w:themeColor="text1"/>
          <w:sz w:val="32"/>
          <w:szCs w:val="32"/>
          <w:lang w:eastAsia="zh-CN"/>
          <w14:textFill>
            <w14:solidFill>
              <w14:schemeClr w14:val="tx1"/>
            </w14:solidFill>
          </w14:textFill>
        </w:rPr>
        <w:t>支出绩效</w:t>
      </w:r>
      <w:r>
        <w:rPr>
          <w:rFonts w:hint="eastAsia" w:ascii="仿宋_GB2312" w:eastAsia="仿宋_GB2312"/>
          <w:color w:val="000000" w:themeColor="text1"/>
          <w:sz w:val="32"/>
          <w:szCs w:val="32"/>
          <w14:textFill>
            <w14:solidFill>
              <w14:schemeClr w14:val="tx1"/>
            </w14:solidFill>
          </w14:textFill>
        </w:rPr>
        <w:t xml:space="preserve">，拍摄微电影《使命》和建设检举举报信息平台，均严格按照不低于目标的标准落实实施。在项目实施过程中，工作人员精心组织，相关部门积极配合，确保高质量完成各项工作任务。 </w:t>
      </w:r>
    </w:p>
    <w:p>
      <w:pPr>
        <w:pStyle w:val="2"/>
        <w:shd w:val="clear" w:color="auto" w:fill="FFFFFF"/>
        <w:spacing w:before="0" w:beforeAutospacing="0" w:after="0" w:afterAutospacing="0" w:line="600" w:lineRule="exact"/>
        <w:ind w:firstLine="48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三、综合评价情况及评价结论达到97分（详见附表）</w:t>
      </w:r>
    </w:p>
    <w:p>
      <w:pPr>
        <w:pStyle w:val="2"/>
        <w:shd w:val="clear" w:color="auto" w:fill="FFFFFF"/>
        <w:spacing w:before="0" w:beforeAutospacing="0" w:after="0" w:afterAutospacing="0" w:line="600" w:lineRule="exact"/>
        <w:ind w:firstLine="48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四、绩效评价指标分析</w:t>
      </w:r>
    </w:p>
    <w:p>
      <w:pPr>
        <w:pStyle w:val="2"/>
        <w:shd w:val="clear" w:color="auto" w:fill="FFFFFF"/>
        <w:spacing w:before="0" w:beforeAutospacing="0" w:after="0" w:afterAutospacing="0" w:line="600" w:lineRule="exact"/>
        <w:ind w:firstLine="48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一</w:t>
      </w:r>
      <w:r>
        <w:rPr>
          <w:rFonts w:ascii="仿宋_GB2312" w:eastAsia="仿宋_GB2312"/>
          <w:color w:val="000000" w:themeColor="text1"/>
          <w:sz w:val="32"/>
          <w:szCs w:val="32"/>
          <w14:textFill>
            <w14:solidFill>
              <w14:schemeClr w14:val="tx1"/>
            </w14:solidFill>
          </w14:textFill>
        </w:rPr>
        <w:t>）产出指标内容：落实中央、省、市、县委关于加强党风廉政建设的各项规定，</w:t>
      </w:r>
      <w:r>
        <w:rPr>
          <w:rFonts w:hint="eastAsia" w:ascii="仿宋_GB2312" w:eastAsia="仿宋_GB2312"/>
          <w:color w:val="000000" w:themeColor="text1"/>
          <w:sz w:val="32"/>
          <w:szCs w:val="32"/>
          <w14:textFill>
            <w14:solidFill>
              <w14:schemeClr w14:val="tx1"/>
            </w14:solidFill>
          </w14:textFill>
        </w:rPr>
        <w:t>聚焦教育医疗、生态环保等12方面违纪违法案件，聚焦“关键少数”典型案件，实行领导包案，集中攻坚，持续保持惩治腐败高压态势。查处的两起吃拿卡要案件被作为全市大型电视问政活动警示教育典型案例，社会反响强烈。</w:t>
      </w:r>
    </w:p>
    <w:p>
      <w:pPr>
        <w:pStyle w:val="2"/>
        <w:shd w:val="clear" w:color="auto" w:fill="FFFFFF"/>
        <w:spacing w:before="0" w:beforeAutospacing="0" w:after="0" w:afterAutospacing="0" w:line="600" w:lineRule="exact"/>
        <w:ind w:firstLine="48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w:t>
      </w:r>
      <w:r>
        <w:rPr>
          <w:rFonts w:hint="eastAsia" w:ascii="仿宋_GB2312" w:eastAsia="仿宋_GB2312"/>
          <w:color w:val="000000" w:themeColor="text1"/>
          <w:sz w:val="32"/>
          <w:szCs w:val="32"/>
          <w14:textFill>
            <w14:solidFill>
              <w14:schemeClr w14:val="tx1"/>
            </w14:solidFill>
          </w14:textFill>
        </w:rPr>
        <w:t>二</w:t>
      </w:r>
      <w:r>
        <w:rPr>
          <w:rFonts w:ascii="仿宋_GB2312" w:eastAsia="仿宋_GB2312"/>
          <w:color w:val="000000" w:themeColor="text1"/>
          <w:sz w:val="32"/>
          <w:szCs w:val="32"/>
          <w14:textFill>
            <w14:solidFill>
              <w14:schemeClr w14:val="tx1"/>
            </w14:solidFill>
          </w14:textFill>
        </w:rPr>
        <w:t>）效益指标方面：</w:t>
      </w:r>
      <w:r>
        <w:rPr>
          <w:rFonts w:hint="eastAsia" w:ascii="仿宋_GB2312" w:eastAsia="仿宋_GB2312"/>
          <w:color w:val="000000" w:themeColor="text1"/>
          <w:sz w:val="32"/>
          <w:szCs w:val="32"/>
          <w14:textFill>
            <w14:solidFill>
              <w14:schemeClr w14:val="tx1"/>
            </w14:solidFill>
          </w14:textFill>
        </w:rPr>
        <w:t>聚焦脱贫攻坚、民生关切、涉黑涉恶腐败、污染防治，人防整治等专项整治工作，严肃查处失职失责和腐败问题，其中，在人防领域专项整治中，追缴易地建设费4668万元。同时，坚持统筹协调、合力攻坚，深入推进其他专项治理整治，率先在全市完成公职人员和党员干部的逾期贷款清欠清收任务。</w:t>
      </w:r>
    </w:p>
    <w:p>
      <w:pPr>
        <w:pStyle w:val="2"/>
        <w:shd w:val="clear" w:color="auto" w:fill="FFFFFF"/>
        <w:spacing w:before="0" w:beforeAutospacing="0" w:after="0" w:afterAutospacing="0" w:line="600" w:lineRule="exact"/>
        <w:ind w:firstLine="480"/>
        <w:rPr>
          <w:rFonts w:hint="eastAsia" w:ascii="仿宋_GB2312" w:eastAsia="仿宋_GB2312"/>
          <w:color w:val="000000" w:themeColor="text1"/>
          <w:spacing w:val="-11"/>
          <w:sz w:val="32"/>
          <w:szCs w:val="32"/>
          <w14:textFill>
            <w14:solidFill>
              <w14:schemeClr w14:val="tx1"/>
            </w14:solidFill>
          </w14:textFill>
        </w:rPr>
      </w:pPr>
      <w:r>
        <w:rPr>
          <w:rFonts w:hint="eastAsia" w:ascii="仿宋_GB2312" w:eastAsia="仿宋_GB2312"/>
          <w:color w:val="000000" w:themeColor="text1"/>
          <w:spacing w:val="-11"/>
          <w:sz w:val="32"/>
          <w:szCs w:val="32"/>
          <w:lang w:eastAsia="zh-CN"/>
          <w14:textFill>
            <w14:solidFill>
              <w14:schemeClr w14:val="tx1"/>
            </w14:solidFill>
          </w14:textFill>
        </w:rPr>
        <w:t>（三）</w:t>
      </w:r>
      <w:r>
        <w:rPr>
          <w:rFonts w:ascii="仿宋_GB2312" w:eastAsia="仿宋_GB2312"/>
          <w:color w:val="000000" w:themeColor="text1"/>
          <w:spacing w:val="-11"/>
          <w:sz w:val="32"/>
          <w:szCs w:val="32"/>
          <w14:textFill>
            <w14:solidFill>
              <w14:schemeClr w14:val="tx1"/>
            </w14:solidFill>
          </w14:textFill>
        </w:rPr>
        <w:t>满意度</w:t>
      </w:r>
      <w:r>
        <w:rPr>
          <w:rFonts w:hint="eastAsia" w:ascii="仿宋_GB2312" w:eastAsia="仿宋_GB2312"/>
          <w:color w:val="000000" w:themeColor="text1"/>
          <w:spacing w:val="-11"/>
          <w:sz w:val="32"/>
          <w:szCs w:val="32"/>
          <w:lang w:eastAsia="zh-CN"/>
          <w14:textFill>
            <w14:solidFill>
              <w14:schemeClr w14:val="tx1"/>
            </w14:solidFill>
          </w14:textFill>
        </w:rPr>
        <w:t>指标</w:t>
      </w:r>
      <w:r>
        <w:rPr>
          <w:rFonts w:ascii="仿宋_GB2312" w:eastAsia="仿宋_GB2312"/>
          <w:color w:val="000000" w:themeColor="text1"/>
          <w:spacing w:val="-11"/>
          <w:sz w:val="32"/>
          <w:szCs w:val="32"/>
          <w14:textFill>
            <w14:solidFill>
              <w14:schemeClr w14:val="tx1"/>
            </w14:solidFill>
          </w14:textFill>
        </w:rPr>
        <w:t>：</w:t>
      </w:r>
      <w:r>
        <w:rPr>
          <w:rFonts w:hint="eastAsia" w:ascii="仿宋" w:hAnsi="仿宋" w:eastAsia="仿宋" w:cs="仿宋"/>
          <w:color w:val="000000" w:themeColor="text1"/>
          <w:sz w:val="32"/>
          <w:szCs w:val="32"/>
          <w:lang w:val="en-US" w:eastAsia="zh-CN"/>
          <w14:textFill>
            <w14:solidFill>
              <w14:schemeClr w14:val="tx1"/>
            </w14:solidFill>
          </w14:textFill>
        </w:rPr>
        <w:t>自评为满意</w:t>
      </w:r>
      <w:r>
        <w:rPr>
          <w:rFonts w:ascii="仿宋_GB2312" w:eastAsia="仿宋_GB2312"/>
          <w:color w:val="000000" w:themeColor="text1"/>
          <w:spacing w:val="-11"/>
          <w:sz w:val="32"/>
          <w:szCs w:val="32"/>
          <w14:textFill>
            <w14:solidFill>
              <w14:schemeClr w14:val="tx1"/>
            </w14:solidFill>
          </w14:textFill>
        </w:rPr>
        <w:t>。</w:t>
      </w:r>
    </w:p>
    <w:p>
      <w:pPr>
        <w:pStyle w:val="2"/>
        <w:shd w:val="clear" w:color="auto" w:fill="FFFFFF"/>
        <w:spacing w:before="0" w:beforeAutospacing="0" w:after="0" w:afterAutospacing="0" w:line="600" w:lineRule="exact"/>
        <w:ind w:firstLine="480"/>
        <w:rPr>
          <w:rFonts w:hint="eastAsia" w:ascii="黑体" w:hAnsi="黑体" w:eastAsia="黑体"/>
          <w:color w:val="000000" w:themeColor="text1"/>
          <w:sz w:val="32"/>
          <w:szCs w:val="32"/>
          <w14:textFill>
            <w14:solidFill>
              <w14:schemeClr w14:val="tx1"/>
            </w14:solidFill>
          </w14:textFill>
        </w:rPr>
      </w:pPr>
      <w:r>
        <w:rPr>
          <w:rFonts w:hint="eastAsia" w:ascii="黑体" w:hAnsi="黑体" w:eastAsia="黑体"/>
          <w:color w:val="000000" w:themeColor="text1"/>
          <w:sz w:val="32"/>
          <w:szCs w:val="32"/>
          <w14:textFill>
            <w14:solidFill>
              <w14:schemeClr w14:val="tx1"/>
            </w14:solidFill>
          </w14:textFill>
        </w:rPr>
        <w:t>五、存在问题</w:t>
      </w:r>
    </w:p>
    <w:p>
      <w:pPr>
        <w:pStyle w:val="2"/>
        <w:shd w:val="clear" w:color="auto" w:fill="FFFFFF"/>
        <w:spacing w:before="0" w:beforeAutospacing="0" w:after="0" w:afterAutospacing="0" w:line="600" w:lineRule="exact"/>
        <w:ind w:firstLine="48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（一）财务经办人员业务能力欠缺，对财务管理知识尚欠缺，规范单位财务行为能力需加强。</w:t>
      </w:r>
    </w:p>
    <w:p>
      <w:pPr>
        <w:pStyle w:val="2"/>
        <w:shd w:val="clear" w:color="auto" w:fill="FFFFFF"/>
        <w:spacing w:before="0" w:beforeAutospacing="0" w:after="0" w:afterAutospacing="0" w:line="600" w:lineRule="exact"/>
        <w:ind w:firstLine="48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（二）资金使用效益有待进一步提高，绩效目标设立不够明确、细化和量化。</w:t>
      </w:r>
    </w:p>
    <w:p>
      <w:pPr>
        <w:pStyle w:val="2"/>
        <w:shd w:val="clear" w:color="auto" w:fill="FFFFFF"/>
        <w:spacing w:before="0" w:beforeAutospacing="0" w:after="0" w:afterAutospacing="0" w:line="600" w:lineRule="exact"/>
        <w:ind w:firstLine="480"/>
        <w:rPr>
          <w:rFonts w:hint="eastAsia" w:ascii="黑体" w:hAnsi="黑体" w:eastAsia="黑体"/>
          <w:color w:val="000000" w:themeColor="text1"/>
          <w:sz w:val="32"/>
          <w:szCs w:val="32"/>
          <w14:textFill>
            <w14:solidFill>
              <w14:schemeClr w14:val="tx1"/>
            </w14:solidFill>
          </w14:textFill>
        </w:rPr>
      </w:pPr>
      <w:r>
        <w:rPr>
          <w:rFonts w:ascii="黑体" w:hAnsi="黑体" w:eastAsia="黑体"/>
          <w:color w:val="000000" w:themeColor="text1"/>
          <w:sz w:val="32"/>
          <w:szCs w:val="32"/>
          <w14:textFill>
            <w14:solidFill>
              <w14:schemeClr w14:val="tx1"/>
            </w14:solidFill>
          </w14:textFill>
        </w:rPr>
        <w:t>六、</w:t>
      </w:r>
      <w:r>
        <w:rPr>
          <w:rFonts w:hint="eastAsia" w:ascii="黑体" w:hAnsi="黑体" w:eastAsia="黑体"/>
          <w:color w:val="000000" w:themeColor="text1"/>
          <w:sz w:val="32"/>
          <w:szCs w:val="32"/>
          <w14:textFill>
            <w14:solidFill>
              <w14:schemeClr w14:val="tx1"/>
            </w14:solidFill>
          </w14:textFill>
        </w:rPr>
        <w:t>下一步打算</w:t>
      </w:r>
      <w:r>
        <w:rPr>
          <w:rFonts w:ascii="黑体" w:hAnsi="黑体" w:eastAsia="黑体"/>
          <w:color w:val="000000" w:themeColor="text1"/>
          <w:sz w:val="32"/>
          <w:szCs w:val="32"/>
          <w14:textFill>
            <w14:solidFill>
              <w14:schemeClr w14:val="tx1"/>
            </w14:solidFill>
          </w14:textFill>
        </w:rPr>
        <w:t xml:space="preserve"> </w:t>
      </w:r>
    </w:p>
    <w:p>
      <w:pPr>
        <w:pStyle w:val="2"/>
        <w:shd w:val="clear" w:color="auto" w:fill="FFFFFF"/>
        <w:spacing w:before="0" w:beforeAutospacing="0" w:after="0" w:afterAutospacing="0" w:line="600" w:lineRule="exact"/>
        <w:ind w:firstLine="48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(一)加强财务管理，严格财务审核。加强单位财务管理，健全单位财务管理制度体系，规范单位财务行为。</w:t>
      </w:r>
    </w:p>
    <w:p>
      <w:pPr>
        <w:pStyle w:val="2"/>
        <w:shd w:val="clear" w:color="auto" w:fill="FFFFFF"/>
        <w:spacing w:before="0" w:beforeAutospacing="0" w:after="0" w:afterAutospacing="0" w:line="600" w:lineRule="exact"/>
        <w:ind w:firstLine="480"/>
        <w:rPr>
          <w:rFonts w:ascii="仿宋_GB2312" w:eastAsia="仿宋_GB2312"/>
          <w:color w:val="000000" w:themeColor="text1"/>
          <w:sz w:val="32"/>
          <w:szCs w:val="32"/>
          <w14:textFill>
            <w14:solidFill>
              <w14:schemeClr w14:val="tx1"/>
            </w14:solidFill>
          </w14:textFill>
        </w:rPr>
      </w:pPr>
      <w:r>
        <w:rPr>
          <w:rFonts w:ascii="仿宋_GB2312" w:eastAsia="仿宋_GB2312"/>
          <w:color w:val="000000" w:themeColor="text1"/>
          <w:sz w:val="32"/>
          <w:szCs w:val="32"/>
          <w14:textFill>
            <w14:solidFill>
              <w14:schemeClr w14:val="tx1"/>
            </w14:solidFill>
          </w14:textFill>
        </w:rPr>
        <w:t>（二）进一步提高预算的合理性、严谨性、精准性，人员经费预算足额编制，最大限度地利用好公用经费。</w:t>
      </w:r>
    </w:p>
    <w:p>
      <w:pPr>
        <w:spacing w:line="600" w:lineRule="exact"/>
        <w:rPr>
          <w:rFonts w:hint="eastAsia" w:ascii="方正小标宋_GBK" w:eastAsia="方正小标宋_GBK"/>
          <w:color w:val="000000" w:themeColor="text1"/>
          <w:sz w:val="30"/>
          <w:szCs w:val="30"/>
          <w14:textFill>
            <w14:solidFill>
              <w14:schemeClr w14:val="tx1"/>
            </w14:solidFill>
          </w14:textFill>
        </w:rPr>
      </w:pPr>
    </w:p>
    <w:p>
      <w:pPr>
        <w:spacing w:line="600" w:lineRule="exact"/>
        <w:rPr>
          <w:rFonts w:hint="eastAsia" w:ascii="方正小标宋_GBK" w:eastAsia="方正小标宋_GBK"/>
          <w:color w:val="000000" w:themeColor="text1"/>
          <w:sz w:val="36"/>
          <w:szCs w:val="36"/>
          <w14:textFill>
            <w14:solidFill>
              <w14:schemeClr w14:val="tx1"/>
            </w14:solidFill>
          </w14:textFill>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22F8"/>
    <w:rsid w:val="000D009B"/>
    <w:rsid w:val="00127D56"/>
    <w:rsid w:val="00147CAD"/>
    <w:rsid w:val="00171E2A"/>
    <w:rsid w:val="001E0314"/>
    <w:rsid w:val="00273DCB"/>
    <w:rsid w:val="003822F8"/>
    <w:rsid w:val="003F2510"/>
    <w:rsid w:val="00426251"/>
    <w:rsid w:val="005025BB"/>
    <w:rsid w:val="00594E0F"/>
    <w:rsid w:val="008150A9"/>
    <w:rsid w:val="008B7EA4"/>
    <w:rsid w:val="00DF20E5"/>
    <w:rsid w:val="0A9B310B"/>
    <w:rsid w:val="1CDB7C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190</Words>
  <Characters>1086</Characters>
  <Lines>9</Lines>
  <Paragraphs>2</Paragraphs>
  <TotalTime>17</TotalTime>
  <ScaleCrop>false</ScaleCrop>
  <LinksUpToDate>false</LinksUpToDate>
  <CharactersWithSpaces>1274</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2021-09-16T08:55:00Z</dcterms:created>
  <dc:creator>Administrator</dc:creator>
  <cp:lastModifiedBy>Administrator</cp:lastModifiedBy>
  <dcterms:modified xsi:type="dcterms:W3CDTF">2021-09-17T03:30:03Z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288312B6C0BB4B358AC423EB76888C6B</vt:lpwstr>
  </property>
</Properties>
</file>