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ascii="黑体" w:hAnsi="黑体" w:eastAsia="黑体"/>
          <w:sz w:val="44"/>
          <w:szCs w:val="44"/>
        </w:rPr>
        <w:t>20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20</w:t>
      </w:r>
      <w:r>
        <w:rPr>
          <w:rFonts w:ascii="黑体" w:hAnsi="黑体" w:eastAsia="黑体"/>
          <w:sz w:val="44"/>
          <w:szCs w:val="44"/>
        </w:rPr>
        <w:t>年</w:t>
      </w:r>
      <w:r>
        <w:rPr>
          <w:rFonts w:hint="eastAsia" w:ascii="黑体" w:hAnsi="黑体" w:eastAsia="黑体"/>
          <w:sz w:val="44"/>
          <w:szCs w:val="44"/>
          <w:lang w:eastAsia="zh-CN"/>
        </w:rPr>
        <w:t>稷峰镇</w:t>
      </w:r>
      <w:r>
        <w:rPr>
          <w:rFonts w:hint="eastAsia" w:ascii="黑体" w:hAnsi="黑体" w:eastAsia="黑体"/>
          <w:sz w:val="44"/>
          <w:szCs w:val="44"/>
        </w:rPr>
        <w:t>人民政府</w:t>
      </w: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村级管理</w:t>
      </w:r>
      <w:r>
        <w:rPr>
          <w:rFonts w:ascii="黑体" w:hAnsi="黑体" w:eastAsia="黑体"/>
          <w:sz w:val="44"/>
          <w:szCs w:val="44"/>
        </w:rPr>
        <w:t>费项目绩效自评报告</w:t>
      </w:r>
    </w:p>
    <w:p>
      <w:pPr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　　</w:t>
      </w:r>
    </w:p>
    <w:p>
      <w:pPr>
        <w:ind w:firstLine="964" w:firstLineChars="3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一、基本情况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　　（一）</w:t>
      </w:r>
      <w:r>
        <w:rPr>
          <w:rFonts w:hint="eastAsia" w:ascii="仿宋" w:hAnsi="仿宋" w:eastAsia="仿宋"/>
          <w:b/>
          <w:bCs/>
          <w:sz w:val="32"/>
          <w:szCs w:val="32"/>
        </w:rPr>
        <w:t>项目概况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　　</w:t>
      </w:r>
      <w:r>
        <w:rPr>
          <w:rFonts w:hint="eastAsia" w:ascii="仿宋" w:hAnsi="仿宋" w:eastAsia="仿宋"/>
          <w:sz w:val="32"/>
          <w:szCs w:val="32"/>
          <w:lang w:eastAsia="zh-CN"/>
        </w:rPr>
        <w:t>稷峰镇</w:t>
      </w:r>
      <w:r>
        <w:rPr>
          <w:rFonts w:hint="eastAsia" w:ascii="仿宋" w:hAnsi="仿宋" w:eastAsia="仿宋"/>
          <w:sz w:val="32"/>
          <w:szCs w:val="32"/>
        </w:rPr>
        <w:t>人民政府是一级人民政府，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主要</w:t>
      </w:r>
      <w:r>
        <w:rPr>
          <w:rFonts w:hint="eastAsia" w:ascii="仿宋" w:hAnsi="仿宋" w:eastAsia="仿宋"/>
          <w:sz w:val="32"/>
          <w:szCs w:val="32"/>
        </w:rPr>
        <w:t>贯彻执行党在农村的各项方针、政策，加强对农业和农村工作的领导；执行本级人民代表大会的决议和上级国家行政机关的决定和命令；研究制定全</w:t>
      </w:r>
      <w:r>
        <w:rPr>
          <w:rFonts w:hint="eastAsia" w:ascii="仿宋" w:hAnsi="仿宋" w:eastAsia="仿宋"/>
          <w:sz w:val="32"/>
          <w:szCs w:val="32"/>
          <w:lang w:eastAsia="zh-CN"/>
        </w:rPr>
        <w:t>镇</w:t>
      </w:r>
      <w:r>
        <w:rPr>
          <w:rFonts w:hint="eastAsia" w:ascii="仿宋" w:hAnsi="仿宋" w:eastAsia="仿宋"/>
          <w:sz w:val="32"/>
          <w:szCs w:val="32"/>
        </w:rPr>
        <w:t>经济和社会发展的中、长期发展规划和年度计划，并组织实施；抓好自身和所属党组织的思想、组织和作风建设；坚持以经济建设为中心，大力发展农业、非公有制经济和第三产业，不断发展镇域经济；抓好全</w:t>
      </w:r>
      <w:r>
        <w:rPr>
          <w:rFonts w:hint="eastAsia" w:ascii="仿宋" w:hAnsi="仿宋" w:eastAsia="仿宋"/>
          <w:sz w:val="32"/>
          <w:szCs w:val="32"/>
          <w:lang w:eastAsia="zh-CN"/>
        </w:rPr>
        <w:t>镇</w:t>
      </w:r>
      <w:r>
        <w:rPr>
          <w:rFonts w:hint="eastAsia" w:ascii="仿宋" w:hAnsi="仿宋" w:eastAsia="仿宋"/>
          <w:sz w:val="32"/>
          <w:szCs w:val="32"/>
        </w:rPr>
        <w:t>精神文明和民主法制建设；抓好武装部、妇联、共青团等群众组织工作；抓好社会事业和镇村基础设施建设；办理上级人民政府交办的其他事项。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2020年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村级管理费项目金额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572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万元，其中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东街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村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6.27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万元、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西街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村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5.58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万元、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南街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村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5.55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万元、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东北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村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5.40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万元、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西北街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村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5.34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万元、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甘泉村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4.59万元、寺后窑村4.26万元、羊牧头村4.94万元、荆平村6.58万元、苑曲村6.47万元、加庄村5.10万元、吉家庄村5.12万元、新庄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4.51万元、下柏村5.72万元、马村5.13万元、永宁村5.13万元、南阳村8.18万元、东渠村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5.67万元、原家庄村5.12万元、涧东村5.41万元、桐下村4.93万元、上廉村5.20万元、下廉村6.14万元、孙家城村4.95万元、陶梁村7.07万元、姚村7.36万元、平陇村4.79万元、贾峪村4.95万元、桐上村5.04万元、上柏村5.39万元、杨赵村8.59万元、王村4.98万元、小杜村6.07万元、太杜村7.02万元、管堡村5.04万元、管村8.04万元、下费村7.20万元、崔村5.01万元、下庄村5.64万元、武城村5.63万元、吴城村7.57万元、富乐村4.72万元、下迪村7.71万元、上迪村5.00万元、和合村4.59万元、姚家庄村5.14万元、马家庄村5.54万元、关家窑村4.47万元、店头村5.01万元、西薛村6.85万元、史册村5.85万元、阳史村6.95万元，合计298.51万元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稷峰镇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村主干报酬数为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273.49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万元，各村分配数加上村主干报酬，全年实际分配数为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572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万元。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资金主要来源于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县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级财政预算。资金管理由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镇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政府开展常态化检查工作，促进项目资金使用效益，确保该项经费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的正常使用。</w:t>
      </w:r>
    </w:p>
    <w:p>
      <w:pPr>
        <w:numPr>
          <w:ilvl w:val="0"/>
          <w:numId w:val="1"/>
        </w:numPr>
        <w:ind w:left="640" w:leftChars="0" w:firstLine="0" w:firstLineChars="0"/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项目绩效目标</w:t>
      </w:r>
    </w:p>
    <w:p>
      <w:pPr>
        <w:ind w:firstLine="640" w:firstLineChars="200"/>
        <w:rPr>
          <w:rFonts w:hint="eastAsia" w:ascii="仿宋" w:hAnsi="仿宋" w:eastAsia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该项经费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总体目标是</w:t>
      </w:r>
      <w:r>
        <w:rPr>
          <w:rFonts w:hint="eastAsia" w:ascii="仿宋" w:hAnsi="仿宋" w:eastAsia="仿宋"/>
          <w:sz w:val="32"/>
          <w:szCs w:val="32"/>
        </w:rPr>
        <w:t>用于保障村级组织正常运转，加强村干部的领导能力建设，提高村干部的工作积极性，充分发挥基层党组织战斗堡垒作用和党员先锋模范作用，改善农村农民的生活环境，提高村民的生活水平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　　</w:t>
      </w:r>
      <w:r>
        <w:rPr>
          <w:rFonts w:hint="eastAsia" w:ascii="仿宋" w:hAnsi="仿宋" w:eastAsia="仿宋"/>
          <w:sz w:val="32"/>
          <w:szCs w:val="32"/>
          <w:lang w:eastAsia="zh-CN"/>
        </w:rPr>
        <w:t>稷峰镇</w:t>
      </w:r>
      <w:r>
        <w:rPr>
          <w:rFonts w:hint="eastAsia" w:ascii="仿宋" w:hAnsi="仿宋" w:eastAsia="仿宋"/>
          <w:sz w:val="32"/>
          <w:szCs w:val="32"/>
        </w:rPr>
        <w:t>人民政府村级管理费项目金额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572</w:t>
      </w:r>
      <w:r>
        <w:rPr>
          <w:rFonts w:ascii="仿宋" w:hAnsi="仿宋" w:eastAsia="仿宋"/>
          <w:sz w:val="32"/>
          <w:szCs w:val="32"/>
        </w:rPr>
        <w:t>万元,共分配给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52</w:t>
      </w:r>
      <w:r>
        <w:rPr>
          <w:rFonts w:ascii="仿宋" w:hAnsi="仿宋" w:eastAsia="仿宋"/>
          <w:sz w:val="32"/>
          <w:szCs w:val="32"/>
        </w:rPr>
        <w:t>个行政村，</w:t>
      </w:r>
      <w:r>
        <w:rPr>
          <w:rFonts w:hint="eastAsia" w:ascii="仿宋" w:hAnsi="仿宋" w:eastAsia="仿宋"/>
          <w:sz w:val="32"/>
          <w:szCs w:val="32"/>
        </w:rPr>
        <w:t>该项资金的拨付改善了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52</w:t>
      </w:r>
      <w:r>
        <w:rPr>
          <w:rFonts w:ascii="仿宋" w:hAnsi="仿宋" w:eastAsia="仿宋"/>
          <w:sz w:val="32"/>
          <w:szCs w:val="32"/>
        </w:rPr>
        <w:t>个村的基础性设施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ascii="仿宋" w:hAnsi="仿宋" w:eastAsia="仿宋"/>
          <w:sz w:val="32"/>
          <w:szCs w:val="32"/>
        </w:rPr>
        <w:t>解决了多个村委会</w:t>
      </w:r>
      <w:r>
        <w:rPr>
          <w:rFonts w:hint="eastAsia" w:ascii="仿宋" w:hAnsi="仿宋" w:eastAsia="仿宋"/>
          <w:sz w:val="32"/>
          <w:szCs w:val="32"/>
        </w:rPr>
        <w:t>日常工作运转</w:t>
      </w:r>
      <w:r>
        <w:rPr>
          <w:rFonts w:ascii="仿宋" w:hAnsi="仿宋" w:eastAsia="仿宋"/>
          <w:sz w:val="32"/>
          <w:szCs w:val="32"/>
        </w:rPr>
        <w:t>等多方面的问题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ascii="仿宋" w:hAnsi="仿宋" w:eastAsia="仿宋"/>
          <w:sz w:val="32"/>
          <w:szCs w:val="32"/>
        </w:rPr>
        <w:t>推进了社会主义新农村的建设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ascii="仿宋" w:hAnsi="仿宋" w:eastAsia="仿宋"/>
          <w:sz w:val="32"/>
          <w:szCs w:val="32"/>
        </w:rPr>
        <w:t>为我</w:t>
      </w:r>
      <w:r>
        <w:rPr>
          <w:rFonts w:hint="eastAsia" w:ascii="仿宋" w:hAnsi="仿宋" w:eastAsia="仿宋"/>
          <w:sz w:val="32"/>
          <w:szCs w:val="32"/>
          <w:lang w:eastAsia="zh-CN"/>
        </w:rPr>
        <w:t>镇</w:t>
      </w:r>
      <w:r>
        <w:rPr>
          <w:rFonts w:ascii="仿宋" w:hAnsi="仿宋" w:eastAsia="仿宋"/>
          <w:sz w:val="32"/>
          <w:szCs w:val="32"/>
        </w:rPr>
        <w:t>建设美丽</w:t>
      </w:r>
      <w:r>
        <w:rPr>
          <w:rFonts w:hint="eastAsia" w:ascii="仿宋" w:hAnsi="仿宋" w:eastAsia="仿宋"/>
          <w:sz w:val="32"/>
          <w:szCs w:val="32"/>
          <w:lang w:eastAsia="zh-CN"/>
        </w:rPr>
        <w:t>镇</w:t>
      </w:r>
      <w:r>
        <w:rPr>
          <w:rFonts w:ascii="仿宋" w:hAnsi="仿宋" w:eastAsia="仿宋"/>
          <w:sz w:val="32"/>
          <w:szCs w:val="32"/>
        </w:rPr>
        <w:t>村奠定了基础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ascii="仿宋" w:hAnsi="仿宋" w:eastAsia="仿宋"/>
          <w:sz w:val="32"/>
          <w:szCs w:val="32"/>
        </w:rPr>
        <w:t>也大大提高了群众对政府的满意度。</w:t>
      </w:r>
    </w:p>
    <w:p>
      <w:pPr>
        <w:numPr>
          <w:ilvl w:val="0"/>
          <w:numId w:val="2"/>
        </w:numPr>
        <w:ind w:left="393" w:leftChars="0" w:firstLine="0" w:firstLineChars="0"/>
        <w:rPr>
          <w:rFonts w:hint="eastAsia" w:ascii="仿宋" w:hAnsi="仿宋" w:eastAsia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color w:val="auto"/>
          <w:sz w:val="32"/>
          <w:szCs w:val="32"/>
          <w:lang w:val="en-US" w:eastAsia="zh-CN"/>
        </w:rPr>
        <w:t>绩效评价工作开展情况</w:t>
      </w:r>
    </w:p>
    <w:p>
      <w:pPr>
        <w:numPr>
          <w:ilvl w:val="0"/>
          <w:numId w:val="3"/>
        </w:numPr>
        <w:ind w:left="393" w:leftChars="0"/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绩效评价目的、对象和范围</w:t>
      </w:r>
    </w:p>
    <w:p>
      <w:pPr>
        <w:numPr>
          <w:ilvl w:val="0"/>
          <w:numId w:val="0"/>
        </w:numPr>
        <w:ind w:firstLine="321" w:firstLineChars="100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可以客观公正地揭示为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各村提供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的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村级公益事业经费保障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的使用情况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，各村基础设施将得到进一步提升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财政资金的使用效益和政府职能的实现程度，完善公共财政体系，强化预算支出的责任和效率。</w:t>
      </w:r>
    </w:p>
    <w:p>
      <w:pPr>
        <w:numPr>
          <w:ilvl w:val="0"/>
          <w:numId w:val="0"/>
        </w:numPr>
        <w:ind w:left="393" w:leftChars="0"/>
        <w:rPr>
          <w:rFonts w:hint="eastAsia" w:ascii="仿宋" w:hAnsi="仿宋" w:eastAsia="仿宋" w:cs="仿宋"/>
          <w:b w:val="0"/>
          <w:bCs w:val="0"/>
          <w:color w:val="auto"/>
          <w:spacing w:val="-17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（二）</w:t>
      </w:r>
      <w:r>
        <w:rPr>
          <w:rFonts w:hint="eastAsia" w:ascii="仿宋" w:hAnsi="仿宋" w:eastAsia="仿宋" w:cs="仿宋"/>
          <w:b w:val="0"/>
          <w:bCs w:val="0"/>
          <w:color w:val="auto"/>
          <w:spacing w:val="-17"/>
          <w:sz w:val="32"/>
          <w:szCs w:val="32"/>
          <w:lang w:val="en-US" w:eastAsia="zh-CN"/>
        </w:rPr>
        <w:t>绩效评价原则、评价指标体系、评价方法、评价标准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按照科学规范、正确决策、公开公正、分级分类，绩效相关原则，开展绩效评价。将项目绩效目标细化分解为具体的绩效指标，资金分配额合理。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393" w:leftChars="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（三）绩效评价工作过程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制定绩效评价方案，整理相关资料，细化绩效目标，设计绩效评价指标体系。通过资金到位率、执行率、使用合规性、制定相关的财务和业务管理制度。</w:t>
      </w:r>
    </w:p>
    <w:p>
      <w:pPr>
        <w:rPr>
          <w:rFonts w:ascii="仿宋" w:hAnsi="仿宋" w:eastAsia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/>
          <w:b/>
          <w:bCs/>
          <w:color w:val="auto"/>
          <w:sz w:val="32"/>
          <w:szCs w:val="32"/>
        </w:rPr>
        <w:t>　</w:t>
      </w:r>
      <w:r>
        <w:rPr>
          <w:rFonts w:hint="eastAsia" w:ascii="仿宋" w:hAnsi="仿宋" w:eastAsia="仿宋"/>
          <w:b/>
          <w:bCs/>
          <w:color w:val="auto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/>
          <w:b/>
          <w:bCs/>
          <w:color w:val="auto"/>
          <w:sz w:val="32"/>
          <w:szCs w:val="32"/>
        </w:rPr>
        <w:t>、综合评价情况及评价结论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　　经按“财政支出绩效评价指标体系”进行综合评价，本项目综合得分</w:t>
      </w:r>
      <w:r>
        <w:rPr>
          <w:rFonts w:ascii="仿宋" w:hAnsi="仿宋" w:eastAsia="仿宋"/>
          <w:sz w:val="32"/>
          <w:szCs w:val="32"/>
        </w:rPr>
        <w:t>9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4.5</w:t>
      </w:r>
      <w:r>
        <w:rPr>
          <w:rFonts w:ascii="仿宋" w:hAnsi="仿宋" w:eastAsia="仿宋"/>
          <w:sz w:val="32"/>
          <w:szCs w:val="32"/>
        </w:rPr>
        <w:t>分，评价等次为“优”。各项评分结果见“项目</w:t>
      </w:r>
      <w:r>
        <w:rPr>
          <w:rFonts w:hint="eastAsia" w:ascii="仿宋" w:hAnsi="仿宋" w:eastAsia="仿宋"/>
          <w:sz w:val="32"/>
          <w:szCs w:val="32"/>
        </w:rPr>
        <w:t>支出绩效自评</w:t>
      </w:r>
      <w:r>
        <w:rPr>
          <w:rFonts w:ascii="仿宋" w:hAnsi="仿宋" w:eastAsia="仿宋"/>
          <w:sz w:val="32"/>
          <w:szCs w:val="32"/>
        </w:rPr>
        <w:t>表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”</w:t>
      </w:r>
      <w:r>
        <w:rPr>
          <w:rFonts w:ascii="仿宋" w:hAnsi="仿宋" w:eastAsia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321" w:firstLineChars="100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四、绩效评价指标分析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320" w:firstLineChars="100"/>
        <w:textAlignment w:val="auto"/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　</w:t>
      </w:r>
      <w:r>
        <w:rPr>
          <w:rFonts w:ascii="仿宋" w:hAnsi="仿宋" w:eastAsia="仿宋"/>
          <w:color w:val="auto"/>
          <w:sz w:val="32"/>
          <w:szCs w:val="32"/>
        </w:rPr>
        <w:t>(一)项目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决策情况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我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镇</w:t>
      </w:r>
      <w:r>
        <w:rPr>
          <w:rFonts w:hint="eastAsia" w:ascii="仿宋" w:hAnsi="仿宋" w:eastAsia="仿宋"/>
          <w:color w:val="auto"/>
          <w:sz w:val="32"/>
          <w:szCs w:val="32"/>
        </w:rPr>
        <w:t>严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把决策关，把</w:t>
      </w:r>
      <w:r>
        <w:rPr>
          <w:rFonts w:hint="eastAsia" w:ascii="仿宋" w:hAnsi="仿宋" w:eastAsia="仿宋"/>
          <w:color w:val="auto"/>
          <w:sz w:val="32"/>
          <w:szCs w:val="32"/>
        </w:rPr>
        <w:t>加强发展项目资金监管列入党委政府重要工作议程，主要领导高度重视，采取联席会议形式听取情况汇报，研究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决策</w:t>
      </w:r>
      <w:r>
        <w:rPr>
          <w:rFonts w:hint="eastAsia" w:ascii="仿宋" w:hAnsi="仿宋" w:eastAsia="仿宋"/>
          <w:color w:val="auto"/>
          <w:sz w:val="32"/>
          <w:szCs w:val="32"/>
        </w:rPr>
        <w:t>相关问题。同时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做到立项依据充分，程序规范，绩效目标合理，绩效指标合理，预算编制科学，做到资金分配合理，</w:t>
      </w:r>
      <w:r>
        <w:rPr>
          <w:rFonts w:hint="eastAsia" w:ascii="仿宋" w:hAnsi="仿宋" w:eastAsia="仿宋"/>
          <w:color w:val="auto"/>
          <w:sz w:val="32"/>
          <w:szCs w:val="32"/>
        </w:rPr>
        <w:t>加大对发展项目资金的管理力度，规范支付程序，保证发展项目资金专款专用。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项目过程情况</w:t>
      </w:r>
    </w:p>
    <w:p>
      <w:pPr>
        <w:ind w:firstLine="640" w:firstLineChars="200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稷峰镇</w:t>
      </w:r>
      <w:r>
        <w:rPr>
          <w:rFonts w:hint="eastAsia" w:ascii="仿宋" w:hAnsi="仿宋" w:eastAsia="仿宋"/>
          <w:color w:val="auto"/>
          <w:sz w:val="32"/>
          <w:szCs w:val="32"/>
        </w:rPr>
        <w:t>人民政府村级管理费项目经费金额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572</w:t>
      </w:r>
      <w:r>
        <w:rPr>
          <w:rFonts w:ascii="仿宋" w:hAnsi="仿宋" w:eastAsia="仿宋"/>
          <w:color w:val="auto"/>
          <w:sz w:val="32"/>
          <w:szCs w:val="32"/>
        </w:rPr>
        <w:t>万元，</w:t>
      </w:r>
      <w:r>
        <w:rPr>
          <w:rFonts w:hint="eastAsia" w:ascii="仿宋" w:hAnsi="仿宋" w:eastAsia="仿宋"/>
          <w:color w:val="auto"/>
          <w:sz w:val="32"/>
          <w:szCs w:val="32"/>
        </w:rPr>
        <w:t>项目拨款按进度进行，资金使用规范、合理，达到了预期的效果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color w:val="auto"/>
          <w:sz w:val="32"/>
          <w:szCs w:val="32"/>
        </w:rPr>
        <w:t>项目目标设定依据充分、明确、合理，项目设置符合相关规定。项目实施过程中，遵循先考察、调研、核实，再根据实际制定相应的措施。实现了项目管理与过程管理的有机结合。</w:t>
      </w:r>
      <w:r>
        <w:rPr>
          <w:rFonts w:ascii="仿宋" w:hAnsi="仿宋" w:eastAsia="仿宋"/>
          <w:color w:val="auto"/>
          <w:sz w:val="32"/>
          <w:szCs w:val="32"/>
        </w:rPr>
        <w:t>资金已全部到位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，</w:t>
      </w:r>
      <w:r>
        <w:rPr>
          <w:rFonts w:ascii="仿宋" w:hAnsi="仿宋" w:eastAsia="仿宋"/>
          <w:color w:val="auto"/>
          <w:sz w:val="32"/>
          <w:szCs w:val="32"/>
        </w:rPr>
        <w:t>拨付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率和执行率做到100%，做到资金的使用和管理符合相关的财务管理制度规定。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393" w:leftChars="0"/>
        <w:textAlignment w:val="auto"/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（三）项目产出情况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 xml:space="preserve">   本年度绩效目标确定的金额跟实际的提供服务数量一致，实际完成率达100%，质量达标率、完成及时性、成本节约率都按规定的绩效指标完成。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640" w:leftChars="0"/>
        <w:textAlignment w:val="auto"/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（四）项目效益情况</w:t>
      </w:r>
    </w:p>
    <w:p>
      <w:pPr>
        <w:ind w:firstLine="640" w:firstLineChars="200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该项目将为各村提供村级公益事业提供经费保障，各村基础设施将得到进一步提升。受益人口达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9.77</w:t>
      </w:r>
      <w:bookmarkStart w:id="0" w:name="_GoBack"/>
      <w:bookmarkEnd w:id="0"/>
      <w:r>
        <w:rPr>
          <w:rFonts w:ascii="仿宋" w:hAnsi="仿宋" w:eastAsia="仿宋"/>
          <w:color w:val="auto"/>
          <w:sz w:val="32"/>
          <w:szCs w:val="32"/>
        </w:rPr>
        <w:t>万人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color w:val="auto"/>
          <w:sz w:val="32"/>
          <w:szCs w:val="32"/>
        </w:rPr>
        <w:t>由于该项目是经常性的，经费的发放都要严格执行经费管理制度，实行专款专用，项目经费的使用情况要纳入村务信息公开内容，通过村务信息公开网、宣传栏、会议等形式向广大群众公开。　　　　</w:t>
      </w:r>
    </w:p>
    <w:p>
      <w:pPr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　　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五</w:t>
      </w:r>
      <w:r>
        <w:rPr>
          <w:rFonts w:hint="eastAsia" w:ascii="仿宋" w:hAnsi="仿宋" w:eastAsia="仿宋"/>
          <w:b/>
          <w:bCs/>
          <w:sz w:val="32"/>
          <w:szCs w:val="32"/>
        </w:rPr>
        <w:t>、主要经验及做法、存在的问题和建议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　　由于绩效自评是一项开展不久的工作任务，项目支出运行实践经验还欠缺，我</w:t>
      </w:r>
      <w:r>
        <w:rPr>
          <w:rFonts w:hint="eastAsia" w:ascii="仿宋" w:hAnsi="仿宋" w:eastAsia="仿宋"/>
          <w:sz w:val="32"/>
          <w:szCs w:val="32"/>
          <w:lang w:eastAsia="zh-CN"/>
        </w:rPr>
        <w:t>镇</w:t>
      </w:r>
      <w:r>
        <w:rPr>
          <w:rFonts w:hint="eastAsia" w:ascii="仿宋" w:hAnsi="仿宋" w:eastAsia="仿宋"/>
          <w:sz w:val="32"/>
          <w:szCs w:val="32"/>
        </w:rPr>
        <w:t>相关人员配备还显不足，相关制度建设还有待进一步加强。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　　现在的项目指标面临着物价、人工费等因素的影响，在编制预算与执行中，我</w:t>
      </w:r>
      <w:r>
        <w:rPr>
          <w:rFonts w:hint="eastAsia" w:ascii="仿宋" w:hAnsi="仿宋" w:eastAsia="仿宋"/>
          <w:sz w:val="32"/>
          <w:szCs w:val="32"/>
          <w:lang w:eastAsia="zh-CN"/>
        </w:rPr>
        <w:t>镇</w:t>
      </w:r>
      <w:r>
        <w:rPr>
          <w:rFonts w:hint="eastAsia" w:ascii="仿宋" w:hAnsi="仿宋" w:eastAsia="仿宋"/>
          <w:sz w:val="32"/>
          <w:szCs w:val="32"/>
        </w:rPr>
        <w:t>将加强对项目的跟踪监督检查及落实情况，严格使用资金，尽可能地用有限的经费平衡每年工作任务，尽量做到科学、合理的分配。</w:t>
      </w:r>
    </w:p>
    <w:p>
      <w:pPr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　</w:t>
      </w:r>
      <w:r>
        <w:rPr>
          <w:rFonts w:hint="eastAsia" w:ascii="仿宋" w:hAnsi="仿宋" w:eastAsia="仿宋"/>
          <w:b/>
          <w:bCs/>
          <w:sz w:val="32"/>
          <w:szCs w:val="32"/>
        </w:rPr>
        <w:t>　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六</w:t>
      </w:r>
      <w:r>
        <w:rPr>
          <w:rFonts w:hint="eastAsia" w:ascii="仿宋" w:hAnsi="仿宋" w:eastAsia="仿宋"/>
          <w:b/>
          <w:bCs/>
          <w:sz w:val="32"/>
          <w:szCs w:val="32"/>
        </w:rPr>
        <w:t>、其他需要说明的问题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无其他需说明情况。</w:t>
      </w:r>
    </w:p>
    <w:p>
      <w:pPr>
        <w:ind w:firstLine="420"/>
        <w:rPr>
          <w:rFonts w:ascii="仿宋" w:hAnsi="仿宋" w:eastAsia="仿宋"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5CE1023"/>
    <w:multiLevelType w:val="singleLevel"/>
    <w:tmpl w:val="95CE1023"/>
    <w:lvl w:ilvl="0" w:tentative="0">
      <w:start w:val="2"/>
      <w:numFmt w:val="chineseCounting"/>
      <w:suff w:val="nothing"/>
      <w:lvlText w:val="%1、"/>
      <w:lvlJc w:val="left"/>
      <w:pPr>
        <w:ind w:left="393" w:leftChars="0" w:firstLine="0" w:firstLineChars="0"/>
      </w:pPr>
      <w:rPr>
        <w:rFonts w:hint="eastAsia"/>
      </w:rPr>
    </w:lvl>
  </w:abstractNum>
  <w:abstractNum w:abstractNumId="1">
    <w:nsid w:val="5DD2526F"/>
    <w:multiLevelType w:val="singleLevel"/>
    <w:tmpl w:val="5DD2526F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5F27359B"/>
    <w:multiLevelType w:val="singleLevel"/>
    <w:tmpl w:val="5F27359B"/>
    <w:lvl w:ilvl="0" w:tentative="0">
      <w:start w:val="2"/>
      <w:numFmt w:val="chineseCounting"/>
      <w:suff w:val="nothing"/>
      <w:lvlText w:val="（%1）"/>
      <w:lvlJc w:val="left"/>
      <w:pPr>
        <w:ind w:left="640" w:leftChars="0" w:firstLine="0" w:firstLineChars="0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03E"/>
    <w:rsid w:val="000B23E5"/>
    <w:rsid w:val="00340010"/>
    <w:rsid w:val="0038462F"/>
    <w:rsid w:val="0043483E"/>
    <w:rsid w:val="006933A9"/>
    <w:rsid w:val="00795656"/>
    <w:rsid w:val="0095703E"/>
    <w:rsid w:val="00A90EE4"/>
    <w:rsid w:val="136A3432"/>
    <w:rsid w:val="2550672A"/>
    <w:rsid w:val="34FA383D"/>
    <w:rsid w:val="3D7E4754"/>
    <w:rsid w:val="3DE76846"/>
    <w:rsid w:val="48BF1A7C"/>
    <w:rsid w:val="578C2836"/>
    <w:rsid w:val="61492C00"/>
    <w:rsid w:val="657A7DEC"/>
    <w:rsid w:val="6E0A0BCB"/>
    <w:rsid w:val="78962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日期 字符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290</Words>
  <Characters>1655</Characters>
  <Lines>13</Lines>
  <Paragraphs>3</Paragraphs>
  <TotalTime>9</TotalTime>
  <ScaleCrop>false</ScaleCrop>
  <LinksUpToDate>false</LinksUpToDate>
  <CharactersWithSpaces>1942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2019-10-23T12:06:00Z</dcterms:created>
  <dc:creator>秦 田</dc:creator>
  <cp:lastModifiedBy>Jessica</cp:lastModifiedBy>
  <dcterms:modified xsi:type="dcterms:W3CDTF">2021-01-22T04:01:08Z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