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稷山县文化市场综合行政执法队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部门整体绩效自我评价报告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为加强财政支出绩效管理，提高财政资金使用效益，根据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中央、省、市、县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等文件要求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稷山县文化市场综合行政执法队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整体支出进行了绩效评价，现将有关情况报告如下：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稷山县文化市场综合行政执法队隶属于稷山县文化和旅游局，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公益一类，为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科级。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核定财政拨款事业编制12名，实行“局队合一”体质，队长由局长兼任，设专职副队长1名（副科级），副队长1名；内设机构股级领导职数3名，实有4人。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领导小组成员：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王泽理  专职副队长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吉若芊  执法队办公室主任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李林、韩海珍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项目实施中的监控小组：办公室、财务室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项目实施后的自我评价机构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自我评价领导组：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执法队领导小组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自我评价工作组：办公室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3、自我评价方案：根据2021年工作计划和年初预算制定。全年文化经费支出14.61万元。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4、评价范围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2021年共确定1个项目开展整体绩效评价，资金共计14.61万元。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5、评价内容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评价内容包括项目的政策依据、立项报告、预算指标、验收报告等要素，评价其投入、产出、综合效益、群众满意度等各项指标，客观出具评价分值、评价报告。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6、评价方式为开展整体项目自我评价。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7、进行评价的依据和评价过程中所使用的依据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部门自评指标参照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val="en-US" w:eastAsia="zh-CN"/>
        </w:rPr>
        <w:t>山西省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文件相关要求，并结合部门实际设置。具体设置如下：一级指标4个，分别为：投入、过程、产出、效果；二级指标7个，分别为：目标设定、预算配置、预算执行、预算管理、资产管理、职责履行、履职效益；三级指标25个，分别为:绩效目标合理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绩效指标明确性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在职人员控制率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“三公经费”变动率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重点支出安排率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预算完成率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预算调整率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支付进度率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结转结余率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结转结余变动率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公用经费控制率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“三公经费”控制率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政府采购执行率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管理制度健全性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资金使用合规性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预决算信息公开性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基础信息完善性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管理制度健全性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资产管理安全性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固定资产利用率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实际完成率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完成及时率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质量达标率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重点工作办结率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经济效益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社会效益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生态效益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社会公众或服务对象满意度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部门收支决算情况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2021年度收入总计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14.61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万元、支出总计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14.61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万元。与2020年相比，收入总计减少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0.32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%，支出总计减少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0.32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%。主要原因是20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项目支出减少，疫情原因办公费等支出减少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 部门绩效目标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部门绩效总目标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OLE_LINK1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聚焦抓党建，落细第一责任。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94949"/>
          <w:spacing w:val="0"/>
          <w:sz w:val="32"/>
          <w:szCs w:val="32"/>
          <w:u w:val="none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强化组织建设。把组织优势转化为发展优势和效能；规范组织生活。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94949"/>
          <w:spacing w:val="0"/>
          <w:sz w:val="32"/>
          <w:szCs w:val="32"/>
          <w:u w:val="none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强化政治建设严格落实上级各项决策部署。以全面从严治党为主线，全面落实新时代党的建设总要求，严格落实主体责任，以“基层党建质量提升年”为重点，制定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  <w:lang w:val="en-US" w:eastAsia="zh-CN"/>
        </w:rPr>
        <w:t>相关方案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等。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94949"/>
          <w:spacing w:val="0"/>
          <w:sz w:val="32"/>
          <w:szCs w:val="32"/>
          <w:u w:val="none"/>
          <w:shd w:val="clear" w:fill="FFFFFF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shd w:val="clear" w:fill="FFFFFF"/>
        </w:rPr>
        <w:t>强化党史学习教育，丰富学习形式。</w:t>
      </w:r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年度部门绩效目标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目标1：提升全县文化产业收入；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目标2：增加全县群众文化普法知识提升。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一般公共预算支出情况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 基本支出情况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 基本支出预决算情况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2021年度一般公共预算财政拨款支出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14.61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万元，占本年支出合计的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%。与2020年相比，一般公共预算财政拨款支出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减少0.32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减少2</w:t>
      </w:r>
      <w:r>
        <w:rPr>
          <w:rFonts w:hint="eastAsia" w:ascii="仿宋_GB2312" w:hAnsi="仿宋_GB2312" w:eastAsia="仿宋_GB2312" w:cs="仿宋_GB2312"/>
          <w:sz w:val="32"/>
          <w:szCs w:val="32"/>
        </w:rPr>
        <w:t>%。主要原因20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项目支出减少，疫情原因办公费等支出减少，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其中，日常公用经费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14.61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 “三公经费”控制情况</w:t>
      </w:r>
    </w:p>
    <w:p>
      <w:pPr>
        <w:spacing w:line="580" w:lineRule="exact"/>
        <w:ind w:firstLine="640"/>
        <w:rPr>
          <w:rFonts w:hint="default" w:ascii="仿宋_GB2312" w:hAnsi="仿宋" w:eastAsia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2021年度“三公”经费财政拨款支出预算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万元，支出决算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%，比2020年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增加0.1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增加100</w:t>
      </w:r>
      <w:r>
        <w:rPr>
          <w:rFonts w:hint="eastAsia" w:ascii="仿宋_GB2312" w:hAnsi="仿宋_GB2312" w:eastAsia="仿宋_GB2312" w:cs="仿宋_GB2312"/>
          <w:sz w:val="32"/>
          <w:szCs w:val="32"/>
        </w:rPr>
        <w:t>%，主要原因是：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公务接待次数2次，接待人次12人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</w:t>
      </w:r>
      <w:r>
        <w:rPr>
          <w:rFonts w:hint="eastAsia" w:ascii="仿宋_GB2312" w:hAnsi="仿宋" w:eastAsia="仿宋_GB2312"/>
          <w:sz w:val="32"/>
          <w:szCs w:val="32"/>
        </w:rPr>
        <w:t>“三公”经费财政拨款支出决算为0.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万元，完成预算的</w:t>
      </w:r>
      <w:r>
        <w:rPr>
          <w:rFonts w:hint="eastAsia" w:ascii="仿宋_GB2312" w:hAnsi="仿宋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%，比上年</w:t>
      </w:r>
      <w:r>
        <w:rPr>
          <w:rFonts w:hint="eastAsia" w:ascii="仿宋_GB2312" w:hAnsi="仿宋"/>
          <w:sz w:val="32"/>
          <w:szCs w:val="32"/>
          <w:lang w:val="en-US" w:eastAsia="zh-CN"/>
        </w:rPr>
        <w:t>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</w:t>
      </w:r>
      <w:r>
        <w:rPr>
          <w:rFonts w:hint="eastAsia" w:ascii="仿宋_GB2312" w:hAnsi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/>
          <w:sz w:val="32"/>
          <w:szCs w:val="32"/>
          <w:lang w:val="en-US" w:eastAsia="zh-CN"/>
        </w:rPr>
        <w:t>增加100</w:t>
      </w:r>
      <w:r>
        <w:rPr>
          <w:rFonts w:hint="eastAsia" w:ascii="仿宋_GB2312" w:hAnsi="仿宋" w:eastAsia="仿宋_GB2312"/>
          <w:sz w:val="32"/>
          <w:szCs w:val="32"/>
        </w:rPr>
        <w:t>%。其中：公务接待费支出决算0.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万元，占比100%，比上年</w:t>
      </w:r>
      <w:r>
        <w:rPr>
          <w:rFonts w:hint="eastAsia" w:ascii="仿宋_GB2312" w:hAnsi="仿宋"/>
          <w:sz w:val="32"/>
          <w:szCs w:val="32"/>
          <w:lang w:val="en-US" w:eastAsia="zh-CN"/>
        </w:rPr>
        <w:t>增加</w:t>
      </w:r>
      <w:r>
        <w:rPr>
          <w:rFonts w:hint="eastAsia" w:ascii="仿宋_GB2312" w:hAnsi="仿宋" w:eastAsia="仿宋_GB2312"/>
          <w:sz w:val="32"/>
          <w:szCs w:val="32"/>
        </w:rPr>
        <w:t>0.</w:t>
      </w:r>
      <w:r>
        <w:rPr>
          <w:rFonts w:hint="eastAsia" w:ascii="仿宋_GB2312" w:hAnsi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/>
          <w:sz w:val="32"/>
          <w:szCs w:val="32"/>
          <w:lang w:val="en-US" w:eastAsia="zh-CN"/>
        </w:rPr>
        <w:t>增加100%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/>
          <w:sz w:val="32"/>
          <w:szCs w:val="32"/>
          <w:lang w:val="en-US" w:eastAsia="zh-CN"/>
        </w:rPr>
        <w:t>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主要原因：本年度公务接待次数增加，共接待2次，接待12人次。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部门整体支出绩效情况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部门绩效目标完成情况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执法次数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＞800次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印刷宣传手册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＞30000册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处理执法案件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5个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编印质量是否保证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经费支出是否审批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完成时限2021年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执法工作成本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14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提升全县文化产业收入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20%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增加全县群众文化普法知识提升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提升服务对象满意度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95%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经综合评价，县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文化和旅游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局整体支出绩效评价得分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分，评价结果为“良”。具体评分情况如下：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（一）投入总分15分，得分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分，扣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分。扣分情况列示如下：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绩效指标明确性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在职人员控制率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（二）过程总分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分，得分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分，扣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分。扣分情况列示如下：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 预算执行扣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分，其中：预算调整率扣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结转结余率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结转结余变动率扣2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 预算管理扣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分，其中：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管理制度健全性扣3分。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 资产管理扣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分，其中：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管理制度健全性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固定资产利用率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（三）产出（职责履行）总分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分，得分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分，扣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分。扣分情况列示如下：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实际完成率扣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完成及时率扣2分；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质量达标率扣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重点工作办结率扣1分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（四）效果（履职效益）总分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分，得分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分，扣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经济效益扣2分；社会效益扣3分；生态效益不涉及扣5分；服务对象满意度扣2分。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14、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存在的问题及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原因分析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94949"/>
          <w:spacing w:val="0"/>
          <w:sz w:val="32"/>
          <w:szCs w:val="32"/>
          <w:u w:val="none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u w:val="none"/>
          <w:shd w:val="clear" w:fill="FFFFFF"/>
        </w:rPr>
        <w:t>项目建设缺投资主体、缺项目资金，项目推进、招商引资难度大。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94949"/>
          <w:spacing w:val="0"/>
          <w:sz w:val="32"/>
          <w:szCs w:val="32"/>
          <w:u w:val="none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u w:val="none"/>
          <w:shd w:val="clear" w:fill="FFFFFF"/>
        </w:rPr>
        <w:t>客源单一，高品质旅游吸引物较少。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94949"/>
          <w:spacing w:val="0"/>
          <w:sz w:val="32"/>
          <w:szCs w:val="32"/>
          <w:u w:val="none"/>
          <w:shd w:val="clear" w:fill="FFFFFF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u w:val="none"/>
          <w:shd w:val="clear" w:fill="FFFFFF"/>
        </w:rPr>
        <w:t>公共文化服务、景区景点数字化基础薄弱。基础设施条件滞后，工作实施难以推进。四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94949"/>
          <w:spacing w:val="0"/>
          <w:sz w:val="32"/>
          <w:szCs w:val="32"/>
          <w:u w:val="none"/>
          <w:shd w:val="clear" w:fill="FFFFFF"/>
        </w:rPr>
        <w:t>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u w:val="none"/>
          <w:shd w:val="clear" w:fill="FFFFFF"/>
        </w:rPr>
        <w:t>文旅人才数量和专业度缺乏。文旅融合后，承担工作要求人员素质达到专业化、专职化甚至专家化水平，现有干部队伍无论从专业上、数量上都难以满足工作需要。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94949"/>
          <w:spacing w:val="0"/>
          <w:sz w:val="32"/>
          <w:szCs w:val="32"/>
          <w:u w:val="none"/>
          <w:shd w:val="clear" w:fill="FFFFFF"/>
        </w:rPr>
        <w:t>五是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u w:val="none"/>
          <w:shd w:val="clear" w:fill="FFFFFF"/>
        </w:rPr>
        <w:t>工作创新性不足。无论是项目建设还是资源的宣传营销，在如何真正做到“人无我有、人有我优、人优我特”的要求上思考不够、办法不多，难以满足旅游品牌差异性、独特性的内在要求。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下一步改进措施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u w:val="none"/>
          <w:shd w:val="clear" w:fill="FFFFFF"/>
        </w:rPr>
        <w:t>（一）全员参与，明确责任，加强绩效管理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u w:val="none"/>
          <w:shd w:val="clear" w:fill="FFFFFF"/>
        </w:rPr>
        <w:t>在项目预算编制中，必须调动相关预算使用部门、股室参与，编制的预算及绩效目标（指标）才符合实际情况；在预算执行过程中，进一步树立了绩效全过程跟踪管理的意识，落实了“谁主管、谁使用、谁负责”绩效管理责任，围绕预期绩效目标，对项目的组织实施进展情况进行动态跟踪，及时发现并纠正项目实施过程中存在的问题，才能确保绩效目标如期实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u w:val="none"/>
          <w:shd w:val="clear" w:fill="FFFFFF"/>
        </w:rPr>
        <w:t>（二）建章立制，齐抓共管，机制运行顺畅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u w:val="none"/>
          <w:shd w:val="clear" w:fill="FFFFFF"/>
        </w:rPr>
        <w:t>严格按照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u w:val="none"/>
          <w:shd w:val="clear" w:fill="FFFFFF"/>
          <w:lang w:val="en-US" w:eastAsia="zh-CN"/>
        </w:rPr>
        <w:t>文件要求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u w:val="none"/>
          <w:shd w:val="clear" w:fill="FFFFFF"/>
        </w:rPr>
        <w:t>，确保预算执行达到预算执行序时进度要求，认真做好项目实施的准备工作，保障项目实施进度高效有序。牢固树立依法行政、依法理财的理念，按规定拨付和使用资金，完善内部管理制度，加强预算执行监控，为单位管好明白账、放心账，确保财政资金花得规范、花得有效、花得明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u w:val="none"/>
          <w:shd w:val="clear" w:fill="FFFFFF"/>
        </w:rPr>
        <w:t>（三）运用评价结果，提高资金效益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  <w:u w:val="none"/>
          <w:shd w:val="clear" w:fill="FFFFFF"/>
        </w:rPr>
        <w:t>将绩效因素作为预算安排的重要依据，对上年度绩效完成不好的，减少预算安排加强绩效监督，反之增加预算安排。形成“绩效预算分配，使用结果评价，下年度绩效预算分配”的绩效预算约束环，使绩效管理贯穿财政支出领域和分配领域，切实提高资金使用效益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jQzMmYwZWZkYjJjNzRjMmQ4MmZlNjQ1N2I3MzMifQ=="/>
  </w:docVars>
  <w:rsids>
    <w:rsidRoot w:val="451F6B38"/>
    <w:rsid w:val="068F05E6"/>
    <w:rsid w:val="1D29123B"/>
    <w:rsid w:val="23C56442"/>
    <w:rsid w:val="2C133A7B"/>
    <w:rsid w:val="2FBF4C2B"/>
    <w:rsid w:val="42041C55"/>
    <w:rsid w:val="443E1ECF"/>
    <w:rsid w:val="451F6B38"/>
    <w:rsid w:val="4B5B40C3"/>
    <w:rsid w:val="4F804675"/>
    <w:rsid w:val="543F7E37"/>
    <w:rsid w:val="592D45B4"/>
    <w:rsid w:val="5AF2035F"/>
    <w:rsid w:val="6CB57B9C"/>
    <w:rsid w:val="72623CD2"/>
    <w:rsid w:val="7B5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2638</Words>
  <Characters>2787</Characters>
  <Lines>0</Lines>
  <Paragraphs>0</Paragraphs>
  <TotalTime>17</TotalTime>
  <ScaleCrop>false</ScaleCrop>
  <LinksUpToDate>false</LinksUpToDate>
  <CharactersWithSpaces>2993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2019-11-27T00:26:00Z</dcterms:created>
  <dc:creator>李桃锁</dc:creator>
  <cp:lastModifiedBy>Lenovo</cp:lastModifiedBy>
  <cp:lastPrinted>2019-11-27T07:44:00Z</cp:lastPrinted>
  <dcterms:modified xsi:type="dcterms:W3CDTF">2022-09-26T09:14:22Z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50C1B56CAD114E4BA4358FE3CAF93E1A</vt:lpwstr>
  </property>
</Properties>
</file>