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稷山县文化市场综合行政执法队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部门整体绩效自我评价报告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为加强财政支出绩效管理，提高财政资金使用效益，根据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中央、省、市、县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稷山县文化市场综合行政执法队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整体支出进行了绩效评价，现将有关情况报告如下：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稷山县文化市场综合行政执法队隶属于稷山县文化和旅游局，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公益一类，为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核定财政拨款事业编制12名，实行“局队合一”体质，队长由局长兼任，设专职副队长1名（副科级），副队长1名；内设机构股级领导职数3名，实有4人。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王泽理  专职副队长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吉若芊  执法队办公室主任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李林、韩海珍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项目实施中的监控小组：办公室、财务室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项目实施后的自我评价机构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自我评价领导组：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执法队领导小组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自我评价工作组：办公室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3、自我评价方案：根据2021年工作计划和年初预算制定。全年文化经费支出14.61万元。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4、评价范围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2021年共确定1个项目开展整体绩效评价，资金共计14.61万元。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5、评价内容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评价内容包括项目的政策依据、立项报告、预算指标、验收报告等要素，评价其投入、产出、综合效益、群众满意度等各项指标，客观出具评价分值、评价报告。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6、评价方式为开展整体项目自我评价。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7、进行评价的依据和评价过程中所使用的依据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部门自评指标参照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山西省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文件相关要求，并结合部门实际设置。具体设置如下：一级指标4个，分别为：投入、过程、产出、效果；二级指标7个，分别为：目标设定、预算配置、预算执行、预算管理、资产管理、职责履行、履职效益；三级指标25个，分别为:绩效目标合理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绩效指标明确性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在职人员控制率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“三公经费”变动率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重点支出安排率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预算完成率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预算调整率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支付进度率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结转结余率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结转结余变动率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公用经费控制率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“三公经费”控制率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政府采购执行率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资金使用合规性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预决算信息公开性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基础信息完善性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资产管理安全性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固定资产利用率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实际完成率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完成及时率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质量达标率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重点工作办结率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经济效益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社会效益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生态效益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社会公众或服务对象满意度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部门收支决算情况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万元。与2020年相比，收入总计减少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%，支出总计减少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项目支出减少，疫情原因办公费等支出减少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 部门绩效目标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部门绩效总目标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聚焦抓党建，落细第一责任。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强化组织建设。把组织优势转化为发展优势和效能；规范组织生活。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强化政治建设严格落实上级各项决策部署。以全面从严治党为主线，全面落实新时代党的建设总要求，严格落实主体责任，以“基层党建质量提升年”为重点，制定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相关方案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等。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shd w:val="clear" w:fill="FFFFFF"/>
        </w:rPr>
        <w:t>强化党史学习教育，丰富学习形式。</w:t>
      </w:r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年度部门绩效目标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目标1：提升全县文化产业收入；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目标2：增加全县群众文化普法知识提升。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一般公共预算支出情况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 基本支出情况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基本支出预决算情况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%。与2020年相比，一般公共预算财政拨款支出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减少0.32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项目支出减少，疫情原因办公费等支出减少，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 “三公经费”控制情况</w:t>
      </w:r>
    </w:p>
    <w:p>
      <w:pPr>
        <w:spacing w:line="580" w:lineRule="exact"/>
        <w:ind w:firstLine="64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2021年度“三公”经费财政拨款支出预算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%，比2020年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增加0.1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公务接待次数2次，接待人次12人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" w:eastAsia="仿宋_GB2312"/>
          <w:sz w:val="32"/>
          <w:szCs w:val="32"/>
        </w:rPr>
        <w:t>“三公”经费财政拨款支出决算为0.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万元，完成预算的</w:t>
      </w:r>
      <w:r>
        <w:rPr>
          <w:rFonts w:hint="eastAsia" w:ascii="仿宋_GB2312" w:hAnsi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%，比上年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</w:t>
      </w:r>
      <w:r>
        <w:rPr>
          <w:rFonts w:hint="eastAsia" w:ascii="仿宋_GB2312" w:hAnsi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增加100</w:t>
      </w:r>
      <w:r>
        <w:rPr>
          <w:rFonts w:hint="eastAsia" w:ascii="仿宋_GB2312" w:hAnsi="仿宋" w:eastAsia="仿宋_GB2312"/>
          <w:sz w:val="32"/>
          <w:szCs w:val="32"/>
        </w:rPr>
        <w:t>%。其中：公务接待费支出决算0.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万元，占比100%，比上年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</w:rPr>
        <w:t>0.</w:t>
      </w:r>
      <w:r>
        <w:rPr>
          <w:rFonts w:hint="eastAsia" w:ascii="仿宋_GB2312" w:hAnsi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/>
          <w:sz w:val="32"/>
          <w:szCs w:val="32"/>
          <w:lang w:val="en-US" w:eastAsia="zh-CN"/>
        </w:rPr>
        <w:t>增加100%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/>
          <w:sz w:val="32"/>
          <w:szCs w:val="32"/>
          <w:lang w:val="en-US" w:eastAsia="zh-CN"/>
        </w:rPr>
        <w:t>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主要原因：本年度公务接待次数增加，共接待2次，接待12人次。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部门整体支出绩效情况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部门绩效目标完成情况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执法次数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＞800次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印刷宣传手册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＞30000册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处理执法案件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编印质量是否保证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经费支出是否审批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完成时限2021年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执法工作成本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提升全县文化产业收入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增加全县群众文化普法知识提升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提升服务对象满意度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95%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经综合评价，县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文化和旅游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局整体支出绩效评价得分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分，评价结果为“良”。具体评分情况如下：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（一）投入总分15分，得分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绩效指标明确性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在职人员控制率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（二）过程总分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预算执行扣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分，其中：预算调整率扣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结转结余率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结转结余变动率扣2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 预算管理扣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管理制度健全性扣3分。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 资产管理扣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分，其中：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管理制度健全性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固定资产利用率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（三）产出（职责履行）总分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分。扣分情况列示如下：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实际完成率扣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完成及时率扣2分；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质量达标率扣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重点工作办结率扣1分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（四）效果（履职效益）总分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分，扣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经济效益扣2分；社会效益扣3分；生态效益不涉及扣5分；服务对象满意度扣2分。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存在的问题及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原因分析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项目建设缺投资主体、缺项目资金，项目推进、招商引资难度大。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客源单一，高品质旅游吸引物较少。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公共文化服务、景区景点数字化基础薄弱。基础设施条件滞后，工作实施难以推进。四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文旅人才数量和专业度缺乏。文旅融合后，承担工作要求人员素质达到专业化、专职化甚至专家化水平，现有干部队伍无论从专业上、数量上都难以满足工作需要。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五是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工作创新性不足。无论是项目建设还是资源的宣传营销，在如何真正做到“人无我有、人有我优、人优我特”的要求上思考不够、办法不多，难以满足旅游品牌差异性、独特性的内在要求。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（一）全员参与，明确责任，加强绩效管理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在项目预算编制中，必须调动相关预算使用部门、股室参与，编制的预算及绩效目标（指标）才符合实际情况；在预算执行过程中，进一步树立了绩效全过程跟踪管理的意识，落实了“谁主管、谁使用、谁负责”绩效管理责任，围绕预期绩效目标，对项目的组织实施进展情况进行动态跟踪，及时发现并纠正项目实施过程中存在的问题，才能确保绩效目标如期实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（二）建章立制，齐抓共管，机制运行顺畅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，确保预算执行达到预算执行序时进度要求，认真做好项目实施的准备工作，保障项目实施进度高效有序。牢固树立依法行政、依法理财的理念，按规定拨付和使用资金，完善内部管理制度，加强预算执行监控，为单位管好明白账、放心账，确保财政资金花得规范、花得有效、花得明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（三）运用评价结果，提高资金效益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将绩效因素作为预算安排的重要依据，对上年度绩效完成不好的，减少预算安排加强绩效监督，反之增加预算安排。形成“绩效预算分配，使用结果评价，下年度绩效预算分配”的绩效预算约束环，使绩效管理贯穿财政支出领域和分配领域，切实提高资金使用效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jQzMmYwZWZkYjJjNzRjMmQ4MmZlNjQ1N2I3MzMifQ=="/>
  </w:docVars>
  <w:rsids>
    <w:rsidRoot w:val="451F6B38"/>
    <w:rsid w:val="068F05E6"/>
    <w:rsid w:val="1D29123B"/>
    <w:rsid w:val="23C56442"/>
    <w:rsid w:val="2C133A7B"/>
    <w:rsid w:val="2FBF4C2B"/>
    <w:rsid w:val="42041C55"/>
    <w:rsid w:val="443E1ECF"/>
    <w:rsid w:val="451F6B38"/>
    <w:rsid w:val="4B5B40C3"/>
    <w:rsid w:val="4F804675"/>
    <w:rsid w:val="543F7E37"/>
    <w:rsid w:val="592D45B4"/>
    <w:rsid w:val="5AF2035F"/>
    <w:rsid w:val="6CB57B9C"/>
    <w:rsid w:val="72623CD2"/>
    <w:rsid w:val="7B5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2638</Words>
  <Characters>2787</Characters>
  <Lines>0</Lines>
  <Paragraphs>0</Paragraphs>
  <TotalTime>17</TotalTime>
  <ScaleCrop>false</ScaleCrop>
  <LinksUpToDate>false</LinksUpToDate>
  <CharactersWithSpaces>2993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2019-11-27T00:26:00Z</dcterms:created>
  <dc:creator>李桃锁</dc:creator>
  <cp:lastModifiedBy>Lenovo</cp:lastModifiedBy>
  <cp:lastPrinted>2019-11-27T07:44:00Z</cp:lastPrinted>
  <dcterms:modified xsi:type="dcterms:W3CDTF">2022-09-26T09:14:22Z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50C1B56CAD114E4BA4358FE3CAF93E1A</vt:lpwstr>
  </property>
</Properties>
</file>