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rPr>
        <w:t>20</w:t>
      </w:r>
      <w:r>
        <w:rPr>
          <w:rFonts w:hint="eastAsia"/>
          <w:lang w:val="en-US" w:eastAsia="zh-CN"/>
        </w:rPr>
        <w:t>21</w:t>
      </w:r>
      <w:r>
        <w:rPr>
          <w:rFonts w:hint="eastAsia"/>
        </w:rPr>
        <w:t>年</w:t>
      </w:r>
      <w:r>
        <w:rPr>
          <w:rFonts w:hint="eastAsia"/>
          <w:lang w:val="en-US" w:eastAsia="zh-CN"/>
        </w:rPr>
        <w:t>稷山县市政公用服务中心经费支出</w:t>
      </w:r>
      <w:r>
        <w:rPr>
          <w:rFonts w:hint="eastAsia"/>
        </w:rPr>
        <w:t>项目</w:t>
      </w:r>
      <w:r>
        <w:rPr>
          <w:rFonts w:hint="eastAsia"/>
          <w:lang w:val="en-US" w:eastAsia="zh-CN"/>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2" w:firstLineChars="200"/>
        <w:jc w:val="left"/>
        <w:textAlignment w:val="center"/>
        <w:outlineLvl w:val="9"/>
        <w:rPr>
          <w:rStyle w:val="6"/>
          <w:rFonts w:hint="eastAsia" w:ascii="新宋体" w:hAnsi="新宋体" w:eastAsia="新宋体" w:cs="新宋体"/>
          <w:b/>
          <w:bCs w:val="0"/>
          <w:sz w:val="28"/>
          <w:szCs w:val="28"/>
        </w:rPr>
      </w:pPr>
      <w:r>
        <w:rPr>
          <w:rFonts w:hint="eastAsia" w:ascii="新宋体" w:hAnsi="新宋体" w:eastAsia="新宋体" w:cs="新宋体"/>
          <w:b/>
          <w:bCs w:val="0"/>
          <w:sz w:val="28"/>
          <w:szCs w:val="28"/>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b w:val="0"/>
          <w:bCs w:val="0"/>
          <w:sz w:val="28"/>
          <w:szCs w:val="28"/>
          <w:lang w:val="en-US" w:eastAsia="zh-CN"/>
        </w:rPr>
        <w:t>2021年，根据稷编办发[2021]25号文件《关于稷山县住房和城乡建设管理局所属事业单位改革实施意见的通知》精神，整合稷山县城市照明服务中心、稷山县节约用水服务中心、稷山县污水处理中心等3个单位，组件稷山县市政公用服务中心。本单位属股级公益事业单位。主要职责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贯彻落实城市道路、桥梁、城市照明（亮化）、节水排水、城市生活污水处理、再生水利用、污泥处置等市政公用基础设施工作的方针政策、法律法规和县委、县政府安排部署；</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负责实施城区城市道路、桥梁、城市照明（亮化）、节水排水、城市生活污水处理、再生水利用、污泥处置等市政公用基础设施及附属设施的中长期计划和年度计划；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负责城区城市道路、排水管渠、桥梁及附属设施日常维护及安全运营等管理工作；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参与城市道路、排水管渠、桥梁及附属设施的设计、竣工验收等工作；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负责城区城市照明、亮化设施日常维护及安全运营等管理工作；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参与城市照明、亮化设施的设计、竣工验收等工作；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负责城区城市供水、燃气、生活污水处理、再生水利用、污泥处置等市政公用行业设施运营及安全方面的监管工作；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承担污水处理服务费、再生水处理服务费、污泥处理服务费核准相关工作；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负责对城区外进出污水厂管网的日常安全运行进行维护管理；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负责编制并考核用水定额，审批下达用水计划，审核用水单位新增用水量，制定县城节约用水发展规划和节约用水计划，制定县城节约用水管理办法，会同有关部门审批节水措施，并督促检查落实；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负责城区市政公用方面经营企业的合同履约、考核评价相关工作；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color w:val="333333"/>
          <w:sz w:val="28"/>
          <w:szCs w:val="28"/>
          <w:shd w:val="clear" w:color="auto" w:fill="auto"/>
          <w:lang w:val="en-US" w:eastAsia="zh-CN"/>
        </w:rPr>
      </w:pPr>
      <w:r>
        <w:rPr>
          <w:rFonts w:hint="eastAsia" w:ascii="仿宋_GB2312" w:hAnsi="仿宋_GB2312" w:eastAsia="仿宋_GB2312" w:cs="仿宋_GB2312"/>
          <w:color w:val="333333"/>
          <w:sz w:val="28"/>
          <w:szCs w:val="28"/>
          <w:shd w:val="clear" w:color="auto" w:fill="auto"/>
          <w:lang w:val="en-US" w:eastAsia="zh-CN"/>
        </w:rPr>
        <w:t>负责编制上报城区城市道路、排水管渠、桥梁、城市照明（亮化）、城市生活污水处理、再生水利用、污泥处置等方面的运营和维护改造经费，并按下达的资金计划认真执行；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shd w:val="clear" w:color="auto" w:fill="auto"/>
          <w:lang w:val="en-US" w:eastAsia="zh-CN"/>
        </w:rPr>
        <w:t>会同有关部门依法拟订和调整相关收费项目和收费标准；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shd w:val="clear" w:color="auto" w:fill="auto"/>
          <w:lang w:val="en-US" w:eastAsia="zh-CN"/>
        </w:rPr>
        <w:t>负责城区道路挖掘恢复管理相关工作；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center"/>
        <w:outlineLvl w:val="9"/>
        <w:rPr>
          <w:rFonts w:hint="eastAsia" w:ascii="仿宋_GB2312" w:hAnsi="仿宋_GB2312" w:eastAsia="仿宋_GB2312" w:cs="仿宋_GB2312"/>
          <w:b/>
          <w:bCs w:val="0"/>
          <w:sz w:val="28"/>
          <w:szCs w:val="28"/>
        </w:rPr>
      </w:pPr>
      <w:r>
        <w:rPr>
          <w:rStyle w:val="6"/>
          <w:rFonts w:hint="eastAsia" w:ascii="仿宋_GB2312" w:hAnsi="仿宋_GB2312" w:eastAsia="仿宋_GB2312" w:cs="仿宋_GB2312"/>
          <w:b/>
          <w:bCs w:val="0"/>
          <w:sz w:val="28"/>
          <w:szCs w:val="28"/>
          <w:lang w:val="en-US" w:eastAsia="zh-CN"/>
        </w:rPr>
        <w:t>项目实施概况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center"/>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领导小组成员：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组</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长</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董武云</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住建局局长</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副组长</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李茂虎  住建局副局长</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工作小组成员：</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吕保卫   </w:t>
      </w:r>
      <w:r>
        <w:rPr>
          <w:rFonts w:hint="eastAsia" w:ascii="仿宋_GB2312" w:hAnsi="仿宋_GB2312" w:eastAsia="仿宋_GB2312" w:cs="仿宋_GB2312"/>
          <w:b w:val="0"/>
          <w:bCs/>
          <w:sz w:val="28"/>
          <w:szCs w:val="28"/>
        </w:rPr>
        <w:t>王孟贵</w:t>
      </w:r>
      <w:r>
        <w:rPr>
          <w:rFonts w:hint="eastAsia" w:ascii="仿宋_GB2312" w:hAnsi="仿宋_GB2312" w:eastAsia="仿宋_GB2312" w:cs="仿宋_GB2312"/>
          <w:b w:val="0"/>
          <w:bCs/>
          <w:sz w:val="28"/>
          <w:szCs w:val="28"/>
          <w:lang w:val="en-US" w:eastAsia="zh-CN"/>
        </w:rPr>
        <w:t xml:space="preserve">   </w:t>
      </w:r>
      <w:bookmarkStart w:id="0" w:name="_GoBack"/>
      <w:bookmarkEnd w:id="0"/>
      <w:r>
        <w:rPr>
          <w:rFonts w:hint="eastAsia" w:ascii="仿宋_GB2312" w:hAnsi="仿宋_GB2312" w:eastAsia="仿宋_GB2312" w:cs="仿宋_GB2312"/>
          <w:b w:val="0"/>
          <w:bCs/>
          <w:sz w:val="28"/>
          <w:szCs w:val="28"/>
          <w:lang w:val="en-US" w:eastAsia="zh-CN"/>
        </w:rPr>
        <w:t xml:space="preserve">刘红伟  </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新宋体" w:hAnsi="新宋体" w:eastAsia="新宋体" w:cs="新宋体"/>
          <w:b w:val="0"/>
          <w:bCs/>
          <w:sz w:val="28"/>
          <w:szCs w:val="28"/>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项目实施中的监控小组</w:t>
      </w:r>
      <w:r>
        <w:rPr>
          <w:rFonts w:hint="eastAsia" w:ascii="新宋体" w:hAnsi="新宋体" w:eastAsia="新宋体" w:cs="新宋体"/>
          <w:b w:val="0"/>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局计财股：王艳霞   </w:t>
      </w:r>
      <w:r>
        <w:rPr>
          <w:rFonts w:hint="eastAsia" w:ascii="仿宋_GB2312" w:hAnsi="仿宋_GB2312" w:eastAsia="仿宋_GB2312" w:cs="仿宋_GB2312"/>
          <w:b w:val="0"/>
          <w:bCs/>
          <w:sz w:val="28"/>
          <w:szCs w:val="28"/>
          <w:lang w:val="en-US" w:eastAsia="zh-CN"/>
        </w:rPr>
        <w:t>曹聪慧</w:t>
      </w:r>
      <w:r>
        <w:rPr>
          <w:rFonts w:hint="eastAsia" w:ascii="仿宋_GB2312" w:hAnsi="仿宋_GB2312" w:eastAsia="仿宋_GB2312" w:cs="仿宋_GB2312"/>
          <w:b w:val="0"/>
          <w:bCs/>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left"/>
        <w:textAlignment w:val="center"/>
        <w:outlineLvl w:val="9"/>
        <w:rPr>
          <w:rStyle w:val="6"/>
          <w:rFonts w:hint="eastAsia" w:ascii="仿宋_GB2312" w:hAnsi="仿宋_GB2312" w:eastAsia="仿宋_GB2312" w:cs="仿宋_GB2312"/>
          <w:b w:val="0"/>
          <w:bCs/>
          <w:sz w:val="28"/>
          <w:szCs w:val="28"/>
          <w:lang w:val="en-US" w:eastAsia="zh-CN"/>
        </w:rPr>
      </w:pPr>
      <w:r>
        <w:rPr>
          <w:rStyle w:val="6"/>
          <w:rFonts w:hint="eastAsia" w:ascii="仿宋_GB2312" w:hAnsi="仿宋_GB2312" w:eastAsia="仿宋_GB2312" w:cs="仿宋_GB2312"/>
          <w:b w:val="0"/>
          <w:bCs/>
          <w:sz w:val="28"/>
          <w:szCs w:val="28"/>
          <w:lang w:val="en-US" w:eastAsia="zh-CN"/>
        </w:rPr>
        <w:t>4、项目</w:t>
      </w:r>
      <w:r>
        <w:rPr>
          <w:rStyle w:val="6"/>
          <w:rFonts w:hint="eastAsia" w:ascii="仿宋_GB2312" w:hAnsi="仿宋_GB2312" w:eastAsia="仿宋_GB2312" w:cs="仿宋_GB2312"/>
          <w:b w:val="0"/>
          <w:bCs/>
          <w:sz w:val="28"/>
          <w:szCs w:val="28"/>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left"/>
        <w:textAlignment w:val="center"/>
        <w:outlineLvl w:val="9"/>
        <w:rPr>
          <w:rStyle w:val="6"/>
          <w:rFonts w:hint="eastAsia" w:ascii="仿宋_GB2312" w:hAnsi="仿宋_GB2312" w:eastAsia="仿宋_GB2312" w:cs="仿宋_GB2312"/>
          <w:b w:val="0"/>
          <w:bCs/>
          <w:sz w:val="28"/>
          <w:szCs w:val="28"/>
          <w:lang w:val="en-US" w:eastAsia="zh-CN"/>
        </w:rPr>
      </w:pPr>
      <w:r>
        <w:rPr>
          <w:rStyle w:val="6"/>
          <w:rFonts w:hint="eastAsia" w:ascii="仿宋_GB2312" w:hAnsi="仿宋_GB2312" w:eastAsia="仿宋_GB2312" w:cs="仿宋_GB2312"/>
          <w:b w:val="0"/>
          <w:bCs/>
          <w:sz w:val="28"/>
          <w:szCs w:val="28"/>
          <w:lang w:val="en-US" w:eastAsia="zh-CN"/>
        </w:rPr>
        <w:t>稷山县市政公用服务中心运行经费主要支出为：</w:t>
      </w:r>
      <w:r>
        <w:rPr>
          <w:rFonts w:hint="eastAsia" w:ascii="仿宋_GB2312" w:hAnsi="仿宋_GB2312" w:eastAsia="仿宋_GB2312" w:cs="仿宋_GB2312"/>
          <w:b w:val="0"/>
          <w:bCs/>
          <w:color w:val="333333"/>
          <w:sz w:val="28"/>
          <w:szCs w:val="28"/>
          <w:shd w:val="clear" w:color="auto" w:fill="auto"/>
          <w:lang w:val="en-US" w:eastAsia="zh-CN"/>
        </w:rPr>
        <w:t>城</w:t>
      </w:r>
      <w:r>
        <w:rPr>
          <w:rFonts w:hint="eastAsia" w:ascii="仿宋_GB2312" w:hAnsi="仿宋_GB2312" w:eastAsia="仿宋_GB2312" w:cs="仿宋_GB2312"/>
          <w:color w:val="333333"/>
          <w:sz w:val="28"/>
          <w:szCs w:val="28"/>
          <w:shd w:val="clear" w:color="auto" w:fill="auto"/>
          <w:lang w:val="en-US" w:eastAsia="zh-CN"/>
        </w:rPr>
        <w:t>市道路、桥梁、城市照明（亮化）、节水排水、城市供水、燃气、生活污水处理、再生水利用、污泥处置等市政公用基础设施及附属设施的日常维护、</w:t>
      </w:r>
      <w:r>
        <w:rPr>
          <w:rStyle w:val="6"/>
          <w:rFonts w:hint="eastAsia" w:ascii="仿宋_GB2312" w:hAnsi="仿宋_GB2312" w:eastAsia="仿宋_GB2312" w:cs="仿宋_GB2312"/>
          <w:b w:val="0"/>
          <w:bCs/>
          <w:sz w:val="28"/>
          <w:szCs w:val="28"/>
          <w:lang w:val="en-US" w:eastAsia="zh-CN"/>
        </w:rPr>
        <w:t>维修费用；因维修、维护所需相关专用设备的燃油、台班费用支出；市政公用管理及维修人员工资、福利支出。</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562" w:firstLineChars="200"/>
        <w:jc w:val="left"/>
        <w:textAlignment w:val="center"/>
        <w:outlineLvl w:val="9"/>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rPr>
        <w:t>项目</w:t>
      </w:r>
      <w:r>
        <w:rPr>
          <w:rFonts w:hint="eastAsia" w:ascii="仿宋_GB2312" w:hAnsi="仿宋_GB2312" w:eastAsia="仿宋_GB2312" w:cs="仿宋_GB2312"/>
          <w:b/>
          <w:bCs w:val="0"/>
          <w:sz w:val="28"/>
          <w:szCs w:val="28"/>
          <w:lang w:val="en-US" w:eastAsia="zh-CN"/>
        </w:rPr>
        <w:t>综合评价情况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2021年，我们主要完成了如下几项工作：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（一）市政设施方面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1、新党校门口两侧2135.8平方米的人行道铺装及绿化任务。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2、完成了3188平方米破损沥青路面修补；1580平方米破损人行道的整修。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3、抢修8处路面和7处窨井口塌陷任务，维护了12处通河闸阀，更换破损井盖213处，对5处积淤严重下水道和2条行洪明渠进行了清淤疏通与整修。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4、完成了灾后受损市政设施的抢修恢复任务：包括2012.12平方米受损路面修补、一级路1100米沿石修补、5处受损通河闸阀井的检修等城市路面功能恢复。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5、完成2021年春节亮化工作的设计、招投标和施工管理工作。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全年共维修线路问题23处，调整路灯控制系统12处，检修变压器36次，处理漏电现象7次。在春夏季节交替时节，及时调整灯具开关灯时间，确保群众出行方便。全年共调整定时器99处，更换照明光源216盏，处理夜间灭灯32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在10月县城发生的洪涝灾害中，市政公用服务中心防汛抢险队员与综合执法一队、二队在一级路丁字口东侧紧急砌筑沙袋拦洪坝270余米，安装配套强排水泵90余台，管护并奋力强排，10月17日在一级路丁字口连夜搭建临时便桥一座，连续一个月昼夜固守抢险一线，出色完成了抢险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8、完成了市政府考核的2.5亿市政基础设施投资任务。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（二）公用事业方面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1、完成了2021年500户煤改气工作任务。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2、对接三方机构编制2021-2022年度稷山县城排水防涝及雨污分流改造工程可行性研究报告。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3、及时化解供水供气和垃圾处理厂方面群众反映问题、投诉30余次。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4、专人配合三方机构解决中油燃气公司和天碧安装公司合同纠纷；下发了整改通知单30份，对安全隐患较大的稷山县荣亿液化气有限公司进行了查封。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联合相关部门对城区领域供水工程水资源自备水井进行排查。配合自来水公司进行多次节水宣工作。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6、聘请安全方面专家对市政运营企业负责人和农村安全协管员以及建筑施工单位负责人一百余人进行了新安全法和城镇燃气安全管理条例培训。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sz w:val="28"/>
          <w:szCs w:val="28"/>
          <w:lang w:val="en-US" w:eastAsia="zh-CN"/>
        </w:rPr>
        <w:t>7、配合市局节水中心完成国家节水城市工作。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both"/>
        <w:textAlignment w:val="center"/>
        <w:outlineLvl w:val="9"/>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color w:val="333333"/>
          <w:sz w:val="28"/>
          <w:szCs w:val="28"/>
          <w:shd w:val="clear" w:color="auto" w:fill="auto"/>
          <w:lang w:val="en-US" w:eastAsia="zh-CN"/>
        </w:rPr>
        <w:t>2021年度全年相关维修、维护费用支出为15.03万元；人员工资福利支出为24.81万元，支出经费合计39.84万元，占年初预算的99.6%。2021年度</w:t>
      </w:r>
      <w:r>
        <w:rPr>
          <w:rFonts w:hint="eastAsia" w:ascii="仿宋_GB2312" w:hAnsi="仿宋_GB2312" w:eastAsia="仿宋_GB2312" w:cs="仿宋_GB2312"/>
          <w:sz w:val="28"/>
          <w:szCs w:val="28"/>
          <w:lang w:val="en-US" w:eastAsia="zh-CN"/>
        </w:rPr>
        <w:t>较上年支出减少10.05万元，节省经费20%。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left"/>
        <w:textAlignment w:val="center"/>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四</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bCs w:val="0"/>
          <w:sz w:val="28"/>
          <w:szCs w:val="28"/>
        </w:rPr>
        <w:t>资金筹集情况</w:t>
      </w:r>
      <w:r>
        <w:rPr>
          <w:rFonts w:hint="eastAsia" w:ascii="仿宋_GB2312" w:hAnsi="仿宋_GB2312" w:eastAsia="仿宋_GB2312" w:cs="仿宋_GB2312"/>
          <w:b w:val="0"/>
          <w:bCs/>
          <w:sz w:val="28"/>
          <w:szCs w:val="28"/>
        </w:rPr>
        <w:t>：县级财政拨款</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center"/>
        <w:rPr>
          <w:rFonts w:hint="eastAsia" w:ascii="新宋体" w:hAnsi="新宋体" w:eastAsia="新宋体" w:cs="新宋体"/>
          <w:b w:val="0"/>
          <w:bCs/>
          <w:sz w:val="28"/>
          <w:szCs w:val="28"/>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4AB3A"/>
    <w:multiLevelType w:val="singleLevel"/>
    <w:tmpl w:val="E274AB3A"/>
    <w:lvl w:ilvl="0" w:tentative="0">
      <w:start w:val="1"/>
      <w:numFmt w:val="chineseCounting"/>
      <w:suff w:val="nothing"/>
      <w:lvlText w:val="%1、"/>
      <w:lvlJc w:val="left"/>
      <w:rPr>
        <w:rFonts w:hint="eastAsia"/>
      </w:rPr>
    </w:lvl>
  </w:abstractNum>
  <w:abstractNum w:abstractNumId="1">
    <w:nsid w:val="E7BDE292"/>
    <w:multiLevelType w:val="singleLevel"/>
    <w:tmpl w:val="E7BDE292"/>
    <w:lvl w:ilvl="0" w:tentative="0">
      <w:start w:val="2"/>
      <w:numFmt w:val="decimal"/>
      <w:suff w:val="nothing"/>
      <w:lvlText w:val="%1、"/>
      <w:lvlJc w:val="left"/>
    </w:lvl>
  </w:abstractNum>
  <w:abstractNum w:abstractNumId="2">
    <w:nsid w:val="F2B727E6"/>
    <w:multiLevelType w:val="singleLevel"/>
    <w:tmpl w:val="F2B727E6"/>
    <w:lvl w:ilvl="0" w:tentative="0">
      <w:start w:val="1"/>
      <w:numFmt w:val="decimal"/>
      <w:suff w:val="nothing"/>
      <w:lvlText w:val="%1、"/>
      <w:lvlJc w:val="left"/>
      <w:pPr>
        <w:ind w:left="-7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2VlODg4ZTg1OGFiNGI4ZDE5MTI0ZmQzYTQxNTUifQ=="/>
  </w:docVars>
  <w:rsids>
    <w:rsidRoot w:val="2BC61E52"/>
    <w:rsid w:val="268D5392"/>
    <w:rsid w:val="2BC61E52"/>
    <w:rsid w:val="4E5B14F9"/>
    <w:rsid w:val="673B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bjh-p"/>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1868</Words>
  <Characters>1968</Characters>
  <Lines>0</Lines>
  <Paragraphs>0</Paragraphs>
  <TotalTime>1</TotalTime>
  <ScaleCrop>false</ScaleCrop>
  <LinksUpToDate>false</LinksUpToDate>
  <CharactersWithSpaces>1981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2022-09-28T07:45:00Z</dcterms:created>
  <dc:creator>点绛唇</dc:creator>
  <cp:lastModifiedBy>点绛唇</cp:lastModifiedBy>
  <dcterms:modified xsi:type="dcterms:W3CDTF">2022-09-28T12:39:24Z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BD66918ECB544CC1994819558989F0B8</vt:lpwstr>
  </property>
</Properties>
</file>