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方正小标宋简体" w:cs="Arial" w:eastAsia="方正小标宋简体" w:hAnsi="Arial"/>
          <w:b/>
          <w:bCs/>
          <w:sz w:val="36"/>
          <w:szCs w:val="36"/>
        </w:rPr>
      </w:pPr>
      <w:r>
        <w:rPr>
          <w:rFonts w:ascii="方正小标宋简体" w:cs="Arial" w:eastAsia="方正小标宋简体" w:hAnsi="宋体" w:hint="eastAsia"/>
          <w:b/>
          <w:bCs/>
          <w:sz w:val="36"/>
          <w:szCs w:val="36"/>
        </w:rPr>
        <w:t>2020年度市级科技计划</w:t>
      </w:r>
      <w:r>
        <w:rPr>
          <w:rFonts w:ascii="方正小标宋简体" w:cs="Arial" w:eastAsia="方正小标宋简体" w:hAnsi="宋体" w:hint="eastAsia"/>
          <w:b/>
          <w:bCs/>
          <w:sz w:val="36"/>
          <w:szCs w:val="36"/>
        </w:rPr>
        <w:t>项目支出绩效</w:t>
      </w:r>
      <w:r>
        <w:rPr>
          <w:rFonts w:ascii="方正小标宋简体" w:cs="Arial" w:eastAsia="方正小标宋简体" w:hAnsi="宋体" w:hint="eastAsia"/>
          <w:b/>
          <w:bCs/>
          <w:sz w:val="36"/>
          <w:szCs w:val="36"/>
        </w:rPr>
        <w:t>自评</w:t>
      </w:r>
      <w:r>
        <w:rPr>
          <w:rFonts w:ascii="方正小标宋简体" w:cs="Arial" w:eastAsia="方正小标宋简体" w:hAnsi="宋体" w:hint="eastAsia"/>
          <w:b/>
          <w:bCs/>
          <w:sz w:val="36"/>
          <w:szCs w:val="36"/>
        </w:rPr>
        <w:t>报告</w:t>
      </w:r>
    </w:p>
    <w:p>
      <w:pPr>
        <w:pStyle w:val="style0"/>
        <w:jc w:val="center"/>
        <w:rPr>
          <w:rFonts w:ascii="仿宋_GB2312"/>
          <w:szCs w:val="30"/>
        </w:rPr>
      </w:pP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>
      <w:pPr>
        <w:pStyle w:val="style0"/>
        <w:spacing w:lineRule="exact" w:line="579"/>
        <w:ind w:firstLine="640" w:firstLineChars="200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（一）项目概况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>
      <w:pPr>
        <w:pStyle w:val="style62"/>
        <w:spacing w:before="0" w:after="0" w:lineRule="exact" w:line="579"/>
        <w:ind w:firstLine="640" w:firstLineChars="200"/>
        <w:jc w:val="both"/>
        <w:rPr>
          <w:rFonts w:ascii="仿宋_GB2312" w:eastAsia="仿宋_GB2312"/>
          <w:b w:val="false"/>
          <w:color w:val="000000"/>
        </w:rPr>
      </w:pPr>
      <w:r>
        <w:rPr>
          <w:rFonts w:ascii="仿宋_GB2312" w:eastAsia="仿宋_GB2312" w:hint="eastAsia"/>
          <w:b w:val="false"/>
          <w:color w:val="000000"/>
        </w:rPr>
        <w:t>2020年度市级科技计划项目</w:t>
      </w:r>
      <w:r>
        <w:rPr>
          <w:rFonts w:ascii="仿宋_GB2312" w:eastAsia="仿宋_GB2312" w:hint="eastAsia"/>
          <w:b w:val="false"/>
          <w:color w:val="000000"/>
        </w:rPr>
        <w:t>是运城市科技局立项的项目，稷山县工科局负责项目的初审上报，</w:t>
      </w:r>
      <w:r>
        <w:rPr>
          <w:rFonts w:ascii="仿宋_GB2312" w:eastAsia="仿宋_GB2312" w:hint="eastAsia"/>
          <w:b w:val="false"/>
          <w:color w:val="000000"/>
        </w:rPr>
        <w:t>按照</w:t>
      </w:r>
      <w:r>
        <w:rPr>
          <w:rFonts w:ascii="仿宋_GB2312" w:eastAsia="仿宋_GB2312" w:hint="eastAsia"/>
          <w:b w:val="false"/>
          <w:color w:val="000000"/>
        </w:rPr>
        <w:t>《关于下达2020年运城市科技计划项目的通知》（运市科发〔2020〕19号）</w:t>
      </w:r>
      <w:r>
        <w:rPr>
          <w:rFonts w:ascii="仿宋_GB2312" w:eastAsia="仿宋_GB2312" w:hint="eastAsia"/>
          <w:b w:val="false"/>
          <w:color w:val="000000"/>
        </w:rPr>
        <w:t>文件要求</w:t>
      </w:r>
      <w:r>
        <w:rPr>
          <w:rFonts w:ascii="仿宋_GB2312" w:eastAsia="仿宋_GB2312" w:hint="eastAsia"/>
          <w:b w:val="false"/>
          <w:color w:val="000000"/>
        </w:rPr>
        <w:t>拨付项目资金；</w:t>
      </w:r>
      <w:r>
        <w:rPr>
          <w:rFonts w:ascii="仿宋_GB2312" w:eastAsia="仿宋_GB2312" w:hint="eastAsia"/>
          <w:b w:val="false"/>
          <w:color w:val="000000"/>
        </w:rPr>
        <w:t>运城市科技大市场和运城市科技局负责项目审核、管理、检查和验收等</w:t>
      </w:r>
      <w:r>
        <w:rPr>
          <w:rFonts w:ascii="仿宋_GB2312" w:eastAsia="仿宋_GB2312" w:hint="eastAsia"/>
          <w:b w:val="false"/>
          <w:color w:val="000000"/>
        </w:rPr>
        <w:t>。</w:t>
      </w:r>
    </w:p>
    <w:p>
      <w:pPr>
        <w:pStyle w:val="style0"/>
        <w:ind w:firstLine="640" w:firstLineChars="200"/>
        <w:rPr>
          <w:rFonts w:ascii="仿宋_GB2312" w:cs="宋体" w:eastAsia="仿宋_GB2312" w:hAnsi="Cambria" w:hint="eastAsia"/>
          <w:bCs/>
          <w:color w:val="000000"/>
          <w:sz w:val="32"/>
          <w:szCs w:val="32"/>
        </w:rPr>
      </w:pPr>
      <w:r>
        <w:rPr>
          <w:rFonts w:ascii="仿宋_GB2312" w:cs="宋体" w:eastAsia="仿宋_GB2312" w:hAnsi="Cambria" w:hint="eastAsia"/>
          <w:bCs/>
          <w:color w:val="000000"/>
          <w:sz w:val="32"/>
          <w:szCs w:val="32"/>
        </w:rPr>
        <w:t>2</w:t>
      </w:r>
      <w:r>
        <w:rPr>
          <w:rFonts w:ascii="仿宋_GB2312" w:cs="宋体" w:eastAsia="仿宋_GB2312" w:hAnsi="Cambria"/>
          <w:bCs/>
          <w:color w:val="000000"/>
          <w:sz w:val="32"/>
          <w:szCs w:val="32"/>
        </w:rPr>
        <w:t>020</w:t>
      </w:r>
      <w:r>
        <w:rPr>
          <w:rFonts w:ascii="仿宋_GB2312" w:cs="宋体" w:eastAsia="仿宋_GB2312" w:hAnsi="Cambria" w:hint="eastAsia"/>
          <w:bCs/>
          <w:color w:val="000000"/>
          <w:sz w:val="32"/>
          <w:szCs w:val="32"/>
        </w:rPr>
        <w:t>年度市级科技计划项目共五项，分别由</w:t>
      </w:r>
      <w:r>
        <w:rPr>
          <w:rFonts w:ascii="仿宋_GB2312" w:cs="宋体" w:eastAsia="仿宋_GB2312" w:hAnsi="Cambria" w:hint="eastAsia"/>
          <w:bCs/>
          <w:color w:val="000000"/>
          <w:sz w:val="32"/>
          <w:szCs w:val="32"/>
        </w:rPr>
        <w:t>山西威世腾岩棉有限公司、山西玉壁建筑装饰工程股份有限公司、山西晋龙集团饲料有限公司、山西峨眉岭中药材有限公司、山西北都碳材料有限公司</w:t>
      </w:r>
      <w:r>
        <w:rPr>
          <w:rFonts w:ascii="仿宋_GB2312" w:cs="宋体" w:eastAsia="仿宋_GB2312" w:hAnsi="Cambria" w:hint="eastAsia"/>
          <w:bCs/>
          <w:color w:val="000000"/>
          <w:sz w:val="32"/>
          <w:szCs w:val="32"/>
        </w:rPr>
        <w:t>承担，共拨付市级项目资金7</w:t>
      </w:r>
      <w:r>
        <w:rPr>
          <w:rFonts w:ascii="仿宋_GB2312" w:cs="宋体" w:eastAsia="仿宋_GB2312" w:hAnsi="Cambria"/>
          <w:bCs/>
          <w:color w:val="000000"/>
          <w:sz w:val="32"/>
          <w:szCs w:val="32"/>
        </w:rPr>
        <w:t>8</w:t>
      </w:r>
      <w:r>
        <w:rPr>
          <w:rFonts w:ascii="仿宋_GB2312" w:cs="宋体" w:eastAsia="仿宋_GB2312" w:hAnsi="Cambria" w:hint="eastAsia"/>
          <w:bCs/>
          <w:color w:val="000000"/>
          <w:sz w:val="32"/>
          <w:szCs w:val="32"/>
        </w:rPr>
        <w:t>万元。</w:t>
      </w:r>
    </w:p>
    <w:p>
      <w:pPr>
        <w:pStyle w:val="style0"/>
        <w:spacing w:lineRule="exact" w:line="579"/>
        <w:ind w:firstLine="640" w:firstLineChars="20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二）项目绩效目标。</w:t>
      </w:r>
    </w:p>
    <w:p>
      <w:pPr>
        <w:pStyle w:val="style62"/>
        <w:spacing w:before="0" w:after="0" w:lineRule="exact" w:line="579"/>
        <w:ind w:firstLine="640"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_GB2312" w:hint="eastAsia"/>
          <w:b w:val="false"/>
          <w:color w:val="000000"/>
          <w:lang w:eastAsia="zh-CN"/>
        </w:rPr>
        <w:t>共拨付市级科技计划项目资金78万元，分配给</w:t>
      </w:r>
      <w:r>
        <w:rPr>
          <w:rFonts w:ascii="仿宋_GB2312" w:hint="default"/>
          <w:b w:val="false"/>
          <w:color w:val="000000"/>
          <w:lang w:val="en-US" w:eastAsia="zh-CN"/>
        </w:rPr>
        <w:t>5</w:t>
      </w:r>
      <w:r>
        <w:rPr>
          <w:rFonts w:ascii="仿宋_GB2312" w:hint="eastAsia"/>
          <w:b w:val="false"/>
          <w:color w:val="000000"/>
          <w:lang w:val="en-US" w:eastAsia="zh-CN"/>
        </w:rPr>
        <w:t>家企业，分别从高质量岩棉制品、新型环保建筑涂料研发、提升鸡蛋品质日粮配置研究、中药材种植模式探索、石墨电极焙烧烧质量提升方面开展科技研发活动，通过科技创新活动从而提升对应行业产品的核心竞争力。</w:t>
      </w:r>
    </w:p>
    <w:p>
      <w:pPr>
        <w:pStyle w:val="style179"/>
        <w:numPr>
          <w:ilvl w:val="0"/>
          <w:numId w:val="2"/>
        </w:numPr>
        <w:spacing w:before="0" w:after="0" w:lineRule="exact" w:line="579"/>
        <w:ind w:firstLineChars="0"/>
        <w:jc w:val="both"/>
        <w:rPr>
          <w:rFonts w:ascii="仿宋_GB2312" w:cs="Times New Roman" w:eastAsia="仿宋_GB2312" w:hAnsi="仿宋" w:hint="eastAsia"/>
          <w:color w:val="000000"/>
          <w:kern w:val="2"/>
          <w:sz w:val="32"/>
          <w:szCs w:val="32"/>
        </w:rPr>
      </w:pPr>
      <w:r>
        <w:rPr>
          <w:rFonts w:ascii="仿宋_GB2312" w:cs="Times New Roman" w:eastAsia="仿宋_GB2312" w:hAnsi="仿宋" w:hint="default"/>
          <w:color w:val="000000"/>
          <w:kern w:val="2"/>
          <w:sz w:val="32"/>
          <w:szCs w:val="32"/>
        </w:rPr>
        <w:t>项目基本性质、用途和主要内容、涉及范围</w:t>
      </w:r>
    </w:p>
    <w:p>
      <w:pPr>
        <w:numPr>
          <w:ilvl w:val="0"/>
          <w:numId w:val="0"/>
        </w:numPr>
        <w:spacing w:before="0" w:after="0" w:lineRule="exact" w:line="579"/>
        <w:ind w:left="420" w:firstLineChars="200"/>
        <w:jc w:val="both"/>
        <w:rPr>
          <w:rFonts w:ascii="仿宋_GB2312" w:cs="Times New Roman" w:eastAsia="仿宋_GB2312" w:hAnsi="仿宋" w:hint="eastAsia"/>
          <w:color w:val="000000"/>
          <w:kern w:val="2"/>
          <w:sz w:val="32"/>
          <w:szCs w:val="32"/>
        </w:rPr>
      </w:pPr>
      <w:r>
        <w:rPr>
          <w:rFonts w:ascii="仿宋_GB2312" w:cs="Times New Roman" w:eastAsia="仿宋_GB2312" w:hAnsi="仿宋" w:hint="eastAsia"/>
          <w:color w:val="000000"/>
          <w:kern w:val="2"/>
          <w:sz w:val="32"/>
          <w:szCs w:val="32"/>
          <w:lang w:eastAsia="zh-CN"/>
        </w:rPr>
        <w:t>该经费主要用于市级科技计划项目，通过支持本地企业、鼓励企业开展科技研发活动，提升企业产品的科技含量和核心竞争力，为经济发展提供科技支撑。项目共涉及涂料，岩棉制品，蛋鸡饲料，中药材，石墨电极5个方面。</w:t>
      </w:r>
    </w:p>
    <w:p>
      <w:pPr>
        <w:pStyle w:val="style179"/>
        <w:numPr>
          <w:ilvl w:val="0"/>
          <w:numId w:val="0"/>
        </w:numPr>
        <w:spacing w:lineRule="exact" w:line="600"/>
        <w:ind w:left="10" w:leftChars="0" w:firstLineChars="200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二、项目资金使用及管理情况</w:t>
      </w:r>
    </w:p>
    <w:p>
      <w:pPr>
        <w:pStyle w:val="style179"/>
        <w:numPr>
          <w:ilvl w:val="0"/>
          <w:numId w:val="0"/>
        </w:numPr>
        <w:spacing w:lineRule="exact" w:line="600"/>
        <w:ind w:left="10" w:leftChars="0" w:firstLineChars="200"/>
        <w:rPr>
          <w:rFonts w:ascii="黑体" w:eastAsia="黑体" w:hAnsi="黑体"/>
          <w:b w:val="false"/>
          <w:bCs w:val="false"/>
          <w:sz w:val="32"/>
          <w:szCs w:val="32"/>
        </w:rPr>
      </w:pP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市级科技计划项目资金共计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78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万元。其中山西威世腾岩棉有限公司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30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万元，山西玉壁建筑装饰工程股份有限公司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10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万元，山西晋龙集团饲料有限公司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20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万元，山西峨眉岭中药材有限公司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10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万元，山西北都碳材料有限公司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8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万元。</w:t>
      </w:r>
    </w:p>
    <w:p>
      <w:pPr>
        <w:spacing w:lineRule="auto" w:line="240"/>
        <w:ind w:firstLineChars="20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(一)项目资金到位情况分析</w:t>
      </w:r>
    </w:p>
    <w:p>
      <w:pPr>
        <w:spacing w:lineRule="auto" w:line="240"/>
        <w:ind w:firstLineChars="20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市级科技计划项目经费共计78万元，资金已全部到位。</w:t>
      </w:r>
    </w:p>
    <w:p>
      <w:pPr>
        <w:spacing w:lineRule="auto" w:line="240"/>
        <w:ind w:firstLineChars="20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(二)项目资金使用情况分析</w:t>
      </w:r>
    </w:p>
    <w:p>
      <w:pPr>
        <w:spacing w:lineRule="auto" w:line="240"/>
        <w:ind w:firstLineChars="20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市级科技计划项目经费共计78万元，已拨付到各企业78万元，剩余0元。</w:t>
      </w:r>
    </w:p>
    <w:p>
      <w:pPr>
        <w:spacing w:lineRule="auto" w:line="240"/>
        <w:ind w:firstLineChars="200"/>
        <w:jc w:val="both"/>
        <w:rPr>
          <w:rFonts w:ascii="黑体" w:eastAsia="黑体" w:hAnsi="黑体"/>
          <w:sz w:val="32"/>
          <w:szCs w:val="32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（三）项目资金管理情况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严格执行财政管理制度，项目拨款按进度进行，资金使用规范、合理，达到了预期的效果。该项目共发放5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家企业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78万元，项目拨付率达到100%。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三、项目组织实施情况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（一）项目组织情况分析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我局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把严肃财经纪律、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将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项目资金监管列入重要工作议程，主要领导高度重视，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要求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加大对项目资金的管理力度，规范支付程序，保证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科技计划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项目资金专款专用。</w:t>
      </w:r>
      <w:r>
        <w:rPr>
          <w:rFonts w:ascii="仿宋" w:cs="Times New Roman" w:eastAsia="仿宋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本项目资金使用情况及完结验收由市科技局组织开展，目前已全部完成验收工作。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（二）项目管理情况分析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项目目标设定依据充分、明确、合理，项目设置符合相关规定。项目实施过程中，遵循先考察、调研、核实，再根据实际制定相应的措施。实现了项目管理与过程管理的有机结合。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四、项目绩效情况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(一)项目绩效目标完成情况分析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1、项目的济经性分析。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通过科技计划项目的实施，提升企业产品核心竞争力，增加企业收入水平，提升经济效益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2、项目的效率性分析。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市级科技计划项目已经全部投入使用，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受益</w:t>
      </w:r>
      <w:r>
        <w:rPr>
          <w:rFonts w:ascii="仿宋" w:cs="Times New Roman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企业</w:t>
      </w:r>
      <w:r>
        <w:rPr>
          <w:rFonts w:cs="Times New Roman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5</w:t>
      </w:r>
      <w:r>
        <w:rPr>
          <w:rFonts w:cs="Times New Roman" w:hAnsi="仿宋" w:hint="eastAsia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家。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3、项目的可持续性分析。</w:t>
      </w:r>
    </w:p>
    <w:p>
      <w:pPr>
        <w:pStyle w:val="style62"/>
        <w:numPr>
          <w:ilvl w:val="0"/>
          <w:numId w:val="0"/>
        </w:num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_GB2312" w:eastAsia="仿宋_GB2312" w:hint="default"/>
          <w:b w:val="false"/>
          <w:color w:val="000000"/>
          <w:lang w:val="en-US"/>
        </w:rPr>
        <w:t>本报告涉及的5项科技计划项目实施年限均为一年，项目完成后，产品质量提升，能够给企业带来持续性的经济效益。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五、综合评价情况及评价结论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经按“财政支出绩效评价指标体系”进行综合评价，本项目综合得100分，评价等次为“优”。各项评分结果见“项目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支出绩效自评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表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”</w:t>
      </w: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六、主要经验及做法、存在的问题和建议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市级科技计划项目是由运城市科技局组织开展，运城市财政局对各个项目开展绩效评价，县级工科部门的职责主要是配合市局完成各项工作，对于绩效评价工作在人员配备和制度建设方面还有所欠缺。</w:t>
      </w:r>
    </w:p>
    <w:p>
      <w:p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/>
          <w:bCs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七、其他需要说明的问题</w:t>
      </w:r>
    </w:p>
    <w:p>
      <w:pPr>
        <w:spacing w:lineRule="auto" w:line="240"/>
        <w:ind w:firstLine="640" w:firstLineChars="200"/>
        <w:jc w:val="both"/>
        <w:rPr>
          <w:rFonts w:ascii="仿宋_GB2312" w:eastAsia="仿宋_GB2312" w:hint="eastAsia"/>
          <w:b w:val="false"/>
          <w:color w:val="000000"/>
        </w:rPr>
      </w:pPr>
      <w:r>
        <w:rPr>
          <w:rFonts w:ascii="仿宋" w:cs="Times New Roman" w:eastAsia="仿宋" w:hAnsi="仿宋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无其他需说明情况。</w:t>
      </w:r>
    </w:p>
    <w:p>
      <w:pPr>
        <w:pStyle w:val="style62"/>
        <w:numPr>
          <w:ilvl w:val="0"/>
          <w:numId w:val="0"/>
        </w:numPr>
        <w:spacing w:lineRule="auto" w:line="240"/>
        <w:ind w:firstLineChars="200"/>
        <w:jc w:val="both"/>
        <w:rPr>
          <w:rFonts w:ascii="仿宋_GB2312" w:eastAsia="仿宋_GB2312" w:hint="eastAsia"/>
          <w:b w:val="false"/>
          <w:color w:val="000000"/>
        </w:rPr>
      </w:pPr>
    </w:p>
    <w:p>
      <w:pPr>
        <w:pStyle w:val="style0"/>
        <w:ind w:firstLineChars="20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EDB0FFB"/>
    <w:lvl w:ilvl="0" w:tplc="0409000F">
      <w:start w:val="3"/>
      <w:numFmt w:val="chineseCounting"/>
      <w:lvlText w:val="（%1）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1"/>
    <w:multiLevelType w:val="hybridMultilevel"/>
    <w:tmpl w:val="FBC60AEC"/>
    <w:lvl w:ilvl="0" w:tplc="0409000F">
      <w:start w:val="2"/>
      <w:numFmt w:val="chineseCounting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62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Cambria" w:cs="宋体" w:hAnsi="Cambria"/>
      <w:b/>
      <w:bCs/>
      <w:sz w:val="32"/>
      <w:szCs w:val="32"/>
    </w:rPr>
  </w:style>
  <w:style w:type="character" w:customStyle="1" w:styleId="style4097">
    <w:name w:val="标题 字符"/>
    <w:basedOn w:val="style65"/>
    <w:next w:val="style4097"/>
    <w:link w:val="style62"/>
    <w:qFormat/>
    <w:uiPriority w:val="10"/>
    <w:rPr>
      <w:rFonts w:ascii="Cambria" w:cs="宋体" w:eastAsia="宋体" w:hAnsi="Cambria"/>
      <w:b/>
      <w:bCs/>
      <w:sz w:val="32"/>
      <w:szCs w:val="32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1362</Words>
  <Pages>1</Pages>
  <Characters>1394</Characters>
  <Application>WPS Office</Application>
  <DocSecurity>0</DocSecurity>
  <Paragraphs>39</Paragraphs>
  <ScaleCrop>false</ScaleCrop>
  <LinksUpToDate>false</LinksUpToDate>
  <CharactersWithSpaces>1394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2020-12-16T03:39:00Z</dcterms:created>
  <dc:creator>Administrator</dc:creator>
  <lastModifiedBy>M2105K81AC</lastModifiedBy>
  <dcterms:modified xsi:type="dcterms:W3CDTF">2022-09-27T02:51:38Z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b466e71f33eb44b49dba49bee7a6f714</vt:lpwstr>
  </property>
</Properties>
</file>