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Cs w:val="32"/>
          <w:lang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  <w:t>关于下达2024年度巩固拓展脱贫攻坚成果和乡村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  <w:t>振兴项目计划的通知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各乡镇人民政府，县直相关单位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根据中央、省财政衔接推进乡村振兴补助资金使用管理有关办法和工作安排，经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巩固脱贫成效衔接乡村振兴领导小组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年度巩固拓展脱贫攻坚成果和乡村振兴项目计划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给你们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。本次计划共安排项目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9080.5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类拟入库项目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4178.7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基础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类拟入库项目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4701.8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巩固衔接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项目管理费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拟入库项目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对于计划安排项目，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各责任单位要进一步核实核准建设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内容及规模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，原则上不得变更，如遇特殊情况需要调整变更的，按相关程序办理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贺晓峰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0359-5858369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（县乡村振兴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附件：稷山县2024年度巩固拓展脱贫攻坚成果和乡村振兴项目计划表</w:t>
      </w:r>
      <w:bookmarkStart w:id="0" w:name="_GoBack"/>
      <w:bookmarkEnd w:id="0"/>
    </w:p>
    <w:p>
      <w:pPr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稷山县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巩固脱贫成效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衔接乡村振兴领导小组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盖章）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zI5OGZlOWE3OTQ1YTY3ZmY4M2Q4YzQ0ODg4YjQifQ=="/>
  </w:docVars>
  <w:rsids>
    <w:rsidRoot w:val="00000000"/>
    <w:rsid w:val="2E4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2023-12-01T08:34:58Z</dcterms:created>
  <dc:creator>Administrator.PC-202212011155</dc:creator>
  <cp:lastModifiedBy>微信用户</cp:lastModifiedBy>
  <dcterms:modified xsi:type="dcterms:W3CDTF">2023-12-01T08:38:21Z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FE6C6153F8074B48BBEA288DD1CD1EC8_12</vt:lpwstr>
  </property>
</Properties>
</file>